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7EA4E">
      <w:pPr>
        <w:spacing w:line="560" w:lineRule="exact"/>
        <w:rPr>
          <w:rFonts w:ascii="宋体" w:hAnsi="宋体" w:eastAsia="黑体" w:cs="黑体"/>
          <w:bCs/>
          <w:color w:val="000000" w:themeColor="text1"/>
          <w:sz w:val="32"/>
          <w14:textFill>
            <w14:solidFill>
              <w14:schemeClr w14:val="tx1"/>
            </w14:solidFill>
          </w14:textFill>
        </w:rPr>
      </w:pPr>
      <w:r>
        <w:rPr>
          <w:rFonts w:hint="eastAsia" w:ascii="宋体" w:hAnsi="宋体" w:eastAsia="黑体"/>
          <w:bCs/>
          <w:color w:val="000000" w:themeColor="text1"/>
          <w:sz w:val="32"/>
          <w14:textFill>
            <w14:solidFill>
              <w14:schemeClr w14:val="tx1"/>
            </w14:solidFill>
          </w14:textFill>
        </w:rPr>
        <w:t>附件</w:t>
      </w:r>
      <w:r>
        <w:rPr>
          <w:rFonts w:hint="eastAsia" w:ascii="宋体" w:hAnsi="宋体" w:eastAsia="黑体" w:cs="黑体"/>
          <w:bCs/>
          <w:color w:val="000000" w:themeColor="text1"/>
          <w:sz w:val="32"/>
          <w14:textFill>
            <w14:solidFill>
              <w14:schemeClr w14:val="tx1"/>
            </w14:solidFill>
          </w14:textFill>
        </w:rPr>
        <w:t>2</w:t>
      </w:r>
    </w:p>
    <w:p w14:paraId="2A767FD3">
      <w:pPr>
        <w:spacing w:line="560" w:lineRule="exact"/>
        <w:jc w:val="center"/>
        <w:rPr>
          <w:rFonts w:ascii="宋体" w:hAnsi="宋体" w:eastAsia="方正小标宋简体" w:cs="宋体"/>
          <w:bCs/>
          <w:color w:val="000000" w:themeColor="text1"/>
          <w:spacing w:val="-20"/>
          <w:kern w:val="0"/>
          <w:sz w:val="44"/>
          <w:szCs w:val="44"/>
          <w14:textFill>
            <w14:solidFill>
              <w14:schemeClr w14:val="tx1"/>
            </w14:solidFill>
          </w14:textFill>
        </w:rPr>
      </w:pPr>
      <w:r>
        <w:rPr>
          <w:rFonts w:hint="eastAsia" w:ascii="宋体" w:hAnsi="宋体" w:eastAsia="方正小标宋简体" w:cs="宋体"/>
          <w:bCs/>
          <w:color w:val="000000" w:themeColor="text1"/>
          <w:spacing w:val="-20"/>
          <w:kern w:val="0"/>
          <w:sz w:val="44"/>
          <w:szCs w:val="44"/>
          <w14:textFill>
            <w14:solidFill>
              <w14:schemeClr w14:val="tx1"/>
            </w14:solidFill>
          </w14:textFill>
        </w:rPr>
        <w:t>山东省医疗类卫生专业技术人员申报高级职称工作量要求</w:t>
      </w:r>
    </w:p>
    <w:tbl>
      <w:tblPr>
        <w:tblStyle w:val="3"/>
        <w:tblW w:w="14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6"/>
        <w:gridCol w:w="710"/>
        <w:gridCol w:w="2405"/>
        <w:gridCol w:w="794"/>
        <w:gridCol w:w="1609"/>
        <w:gridCol w:w="1559"/>
        <w:gridCol w:w="7230"/>
      </w:tblGrid>
      <w:tr w14:paraId="6D3D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Header/>
          <w:jc w:val="center"/>
        </w:trPr>
        <w:tc>
          <w:tcPr>
            <w:tcW w:w="566" w:type="dxa"/>
            <w:vAlign w:val="center"/>
          </w:tcPr>
          <w:p w14:paraId="7B6F98D0">
            <w:pPr>
              <w:widowControl/>
              <w:spacing w:line="260" w:lineRule="exact"/>
              <w:jc w:val="center"/>
              <w:textAlignment w:val="center"/>
              <w:rPr>
                <w:rFonts w:ascii="黑体" w:hAnsi="黑体" w:eastAsia="黑体" w:cs="LinTimes"/>
                <w:color w:val="000000" w:themeColor="text1"/>
                <w:kern w:val="0"/>
                <w:szCs w:val="21"/>
                <w14:textFill>
                  <w14:solidFill>
                    <w14:schemeClr w14:val="tx1"/>
                  </w14:solidFill>
                </w14:textFill>
              </w:rPr>
            </w:pPr>
            <w:r>
              <w:rPr>
                <w:rFonts w:ascii="黑体" w:hAnsi="黑体" w:eastAsia="黑体" w:cs="LinTimes"/>
                <w:color w:val="000000" w:themeColor="text1"/>
                <w:kern w:val="0"/>
                <w:szCs w:val="21"/>
                <w14:textFill>
                  <w14:solidFill>
                    <w14:schemeClr w14:val="tx1"/>
                  </w14:solidFill>
                </w14:textFill>
              </w:rPr>
              <w:t>类别</w:t>
            </w:r>
          </w:p>
        </w:tc>
        <w:tc>
          <w:tcPr>
            <w:tcW w:w="710" w:type="dxa"/>
            <w:vAlign w:val="center"/>
          </w:tcPr>
          <w:p w14:paraId="29951F61">
            <w:pPr>
              <w:widowControl/>
              <w:spacing w:line="260" w:lineRule="exact"/>
              <w:jc w:val="center"/>
              <w:textAlignment w:val="center"/>
              <w:rPr>
                <w:rFonts w:ascii="黑体" w:hAnsi="黑体" w:eastAsia="黑体" w:cs="LinTimes"/>
                <w:color w:val="000000" w:themeColor="text1"/>
                <w:kern w:val="0"/>
                <w:szCs w:val="21"/>
                <w14:textFill>
                  <w14:solidFill>
                    <w14:schemeClr w14:val="tx1"/>
                  </w14:solidFill>
                </w14:textFill>
              </w:rPr>
            </w:pPr>
            <w:r>
              <w:rPr>
                <w:rFonts w:ascii="黑体" w:hAnsi="黑体" w:eastAsia="黑体" w:cs="LinTimes"/>
                <w:color w:val="000000" w:themeColor="text1"/>
                <w:kern w:val="0"/>
                <w:szCs w:val="21"/>
                <w14:textFill>
                  <w14:solidFill>
                    <w14:schemeClr w14:val="tx1"/>
                  </w14:solidFill>
                </w14:textFill>
              </w:rPr>
              <w:t>专业</w:t>
            </w:r>
          </w:p>
        </w:tc>
        <w:tc>
          <w:tcPr>
            <w:tcW w:w="2405" w:type="dxa"/>
            <w:vAlign w:val="center"/>
          </w:tcPr>
          <w:p w14:paraId="1C2EC17C">
            <w:pPr>
              <w:widowControl/>
              <w:spacing w:line="260" w:lineRule="exact"/>
              <w:jc w:val="center"/>
              <w:textAlignment w:val="center"/>
              <w:rPr>
                <w:rFonts w:ascii="黑体" w:hAnsi="黑体" w:eastAsia="黑体" w:cs="LinTimes"/>
                <w:color w:val="000000" w:themeColor="text1"/>
                <w:szCs w:val="21"/>
                <w14:textFill>
                  <w14:solidFill>
                    <w14:schemeClr w14:val="tx1"/>
                  </w14:solidFill>
                </w14:textFill>
              </w:rPr>
            </w:pPr>
            <w:r>
              <w:rPr>
                <w:rFonts w:ascii="黑体" w:hAnsi="黑体" w:eastAsia="黑体" w:cs="LinTimes"/>
                <w:color w:val="000000" w:themeColor="text1"/>
                <w:kern w:val="0"/>
                <w:szCs w:val="21"/>
                <w14:textFill>
                  <w14:solidFill>
                    <w14:schemeClr w14:val="tx1"/>
                  </w14:solidFill>
                </w14:textFill>
              </w:rPr>
              <w:t>评价项目</w:t>
            </w:r>
          </w:p>
        </w:tc>
        <w:tc>
          <w:tcPr>
            <w:tcW w:w="794" w:type="dxa"/>
            <w:vAlign w:val="center"/>
          </w:tcPr>
          <w:p w14:paraId="5AC1DD2D">
            <w:pPr>
              <w:widowControl/>
              <w:spacing w:line="260" w:lineRule="exact"/>
              <w:jc w:val="center"/>
              <w:textAlignment w:val="center"/>
              <w:rPr>
                <w:rFonts w:ascii="黑体" w:hAnsi="黑体" w:eastAsia="黑体" w:cs="LinTimes"/>
                <w:color w:val="000000" w:themeColor="text1"/>
                <w:szCs w:val="21"/>
                <w14:textFill>
                  <w14:solidFill>
                    <w14:schemeClr w14:val="tx1"/>
                  </w14:solidFill>
                </w14:textFill>
              </w:rPr>
            </w:pPr>
            <w:r>
              <w:rPr>
                <w:rFonts w:ascii="黑体" w:hAnsi="黑体" w:eastAsia="黑体" w:cs="LinTimes"/>
                <w:color w:val="000000" w:themeColor="text1"/>
                <w:kern w:val="0"/>
                <w:szCs w:val="21"/>
                <w14:textFill>
                  <w14:solidFill>
                    <w14:schemeClr w14:val="tx1"/>
                  </w14:solidFill>
                </w14:textFill>
              </w:rPr>
              <w:t>单位</w:t>
            </w:r>
          </w:p>
        </w:tc>
        <w:tc>
          <w:tcPr>
            <w:tcW w:w="1609" w:type="dxa"/>
            <w:vAlign w:val="center"/>
          </w:tcPr>
          <w:p w14:paraId="58C3624B">
            <w:pPr>
              <w:widowControl/>
              <w:spacing w:line="260" w:lineRule="exact"/>
              <w:jc w:val="center"/>
              <w:textAlignment w:val="center"/>
              <w:rPr>
                <w:rFonts w:ascii="黑体" w:hAnsi="黑体" w:eastAsia="黑体" w:cs="LinTimes"/>
                <w:color w:val="000000" w:themeColor="text1"/>
                <w:kern w:val="0"/>
                <w:szCs w:val="21"/>
                <w14:textFill>
                  <w14:solidFill>
                    <w14:schemeClr w14:val="tx1"/>
                  </w14:solidFill>
                </w14:textFill>
              </w:rPr>
            </w:pPr>
            <w:r>
              <w:rPr>
                <w:rFonts w:ascii="黑体" w:hAnsi="黑体" w:eastAsia="黑体" w:cs="LinTimes"/>
                <w:color w:val="000000" w:themeColor="text1"/>
                <w:kern w:val="0"/>
                <w:szCs w:val="21"/>
                <w14:textFill>
                  <w14:solidFill>
                    <w14:schemeClr w14:val="tx1"/>
                  </w14:solidFill>
                </w14:textFill>
              </w:rPr>
              <w:t>晋升</w:t>
            </w:r>
          </w:p>
          <w:p w14:paraId="40899CD8">
            <w:pPr>
              <w:widowControl/>
              <w:spacing w:line="260" w:lineRule="exact"/>
              <w:jc w:val="center"/>
              <w:textAlignment w:val="center"/>
              <w:rPr>
                <w:rFonts w:ascii="黑体" w:hAnsi="黑体" w:eastAsia="黑体" w:cs="LinTimes"/>
                <w:color w:val="000000" w:themeColor="text1"/>
                <w:szCs w:val="21"/>
                <w14:textFill>
                  <w14:solidFill>
                    <w14:schemeClr w14:val="tx1"/>
                  </w14:solidFill>
                </w14:textFill>
              </w:rPr>
            </w:pPr>
            <w:r>
              <w:rPr>
                <w:rFonts w:ascii="黑体" w:hAnsi="黑体" w:eastAsia="黑体" w:cs="LinTimes"/>
                <w:color w:val="000000" w:themeColor="text1"/>
                <w:kern w:val="0"/>
                <w:szCs w:val="21"/>
                <w14:textFill>
                  <w14:solidFill>
                    <w14:schemeClr w14:val="tx1"/>
                  </w14:solidFill>
                </w14:textFill>
              </w:rPr>
              <w:t>副主任医师</w:t>
            </w:r>
          </w:p>
        </w:tc>
        <w:tc>
          <w:tcPr>
            <w:tcW w:w="1559" w:type="dxa"/>
            <w:vAlign w:val="center"/>
          </w:tcPr>
          <w:p w14:paraId="1B4BB407">
            <w:pPr>
              <w:widowControl/>
              <w:spacing w:line="260" w:lineRule="exact"/>
              <w:jc w:val="center"/>
              <w:textAlignment w:val="center"/>
              <w:rPr>
                <w:rFonts w:ascii="黑体" w:hAnsi="黑体" w:eastAsia="黑体" w:cs="LinTimes"/>
                <w:color w:val="000000" w:themeColor="text1"/>
                <w:kern w:val="0"/>
                <w:szCs w:val="21"/>
                <w14:textFill>
                  <w14:solidFill>
                    <w14:schemeClr w14:val="tx1"/>
                  </w14:solidFill>
                </w14:textFill>
              </w:rPr>
            </w:pPr>
            <w:r>
              <w:rPr>
                <w:rFonts w:ascii="黑体" w:hAnsi="黑体" w:eastAsia="黑体" w:cs="LinTimes"/>
                <w:color w:val="000000" w:themeColor="text1"/>
                <w:kern w:val="0"/>
                <w:szCs w:val="21"/>
                <w14:textFill>
                  <w14:solidFill>
                    <w14:schemeClr w14:val="tx1"/>
                  </w14:solidFill>
                </w14:textFill>
              </w:rPr>
              <w:t>晋升</w:t>
            </w:r>
          </w:p>
          <w:p w14:paraId="10879590">
            <w:pPr>
              <w:widowControl/>
              <w:spacing w:line="260" w:lineRule="exact"/>
              <w:jc w:val="center"/>
              <w:textAlignment w:val="center"/>
              <w:rPr>
                <w:rFonts w:ascii="黑体" w:hAnsi="黑体" w:eastAsia="黑体" w:cs="LinTimes"/>
                <w:color w:val="000000" w:themeColor="text1"/>
                <w:szCs w:val="21"/>
                <w14:textFill>
                  <w14:solidFill>
                    <w14:schemeClr w14:val="tx1"/>
                  </w14:solidFill>
                </w14:textFill>
              </w:rPr>
            </w:pPr>
            <w:r>
              <w:rPr>
                <w:rFonts w:ascii="黑体" w:hAnsi="黑体" w:eastAsia="黑体" w:cs="LinTimes"/>
                <w:color w:val="000000" w:themeColor="text1"/>
                <w:kern w:val="0"/>
                <w:szCs w:val="21"/>
                <w14:textFill>
                  <w14:solidFill>
                    <w14:schemeClr w14:val="tx1"/>
                  </w14:solidFill>
                </w14:textFill>
              </w:rPr>
              <w:t>主任医师</w:t>
            </w:r>
          </w:p>
        </w:tc>
        <w:tc>
          <w:tcPr>
            <w:tcW w:w="7230" w:type="dxa"/>
            <w:vAlign w:val="center"/>
          </w:tcPr>
          <w:p w14:paraId="03E48453">
            <w:pPr>
              <w:widowControl/>
              <w:spacing w:line="260" w:lineRule="exact"/>
              <w:jc w:val="center"/>
              <w:textAlignment w:val="center"/>
              <w:rPr>
                <w:rFonts w:ascii="黑体" w:hAnsi="黑体" w:eastAsia="黑体" w:cs="LinTimes"/>
                <w:color w:val="000000" w:themeColor="text1"/>
                <w:szCs w:val="21"/>
                <w14:textFill>
                  <w14:solidFill>
                    <w14:schemeClr w14:val="tx1"/>
                  </w14:solidFill>
                </w14:textFill>
              </w:rPr>
            </w:pPr>
            <w:r>
              <w:rPr>
                <w:rFonts w:ascii="黑体" w:hAnsi="黑体" w:eastAsia="黑体" w:cs="LinTimes"/>
                <w:color w:val="000000" w:themeColor="text1"/>
                <w:kern w:val="0"/>
                <w:szCs w:val="21"/>
                <w14:textFill>
                  <w14:solidFill>
                    <w14:schemeClr w14:val="tx1"/>
                  </w14:solidFill>
                </w14:textFill>
              </w:rPr>
              <w:t>临床专业</w:t>
            </w:r>
          </w:p>
        </w:tc>
      </w:tr>
      <w:tr w14:paraId="2304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restart"/>
            <w:vAlign w:val="center"/>
          </w:tcPr>
          <w:p w14:paraId="5FE8918A">
            <w:pPr>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临床</w:t>
            </w:r>
          </w:p>
        </w:tc>
        <w:tc>
          <w:tcPr>
            <w:tcW w:w="710" w:type="dxa"/>
            <w:vMerge w:val="restart"/>
            <w:vAlign w:val="center"/>
          </w:tcPr>
          <w:p w14:paraId="74E6EE2E">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非手术为主临床专业</w:t>
            </w:r>
          </w:p>
        </w:tc>
        <w:tc>
          <w:tcPr>
            <w:tcW w:w="2405" w:type="dxa"/>
            <w:vAlign w:val="center"/>
          </w:tcPr>
          <w:p w14:paraId="6DF0212A">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门诊工作量</w:t>
            </w:r>
          </w:p>
          <w:p w14:paraId="566588F0">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（有病房）</w:t>
            </w:r>
          </w:p>
        </w:tc>
        <w:tc>
          <w:tcPr>
            <w:tcW w:w="794" w:type="dxa"/>
            <w:vAlign w:val="center"/>
          </w:tcPr>
          <w:p w14:paraId="2FBF914C">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单元</w:t>
            </w:r>
          </w:p>
        </w:tc>
        <w:tc>
          <w:tcPr>
            <w:tcW w:w="1609" w:type="dxa"/>
            <w:vAlign w:val="center"/>
          </w:tcPr>
          <w:p w14:paraId="4A6E339E">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400</w:t>
            </w:r>
          </w:p>
        </w:tc>
        <w:tc>
          <w:tcPr>
            <w:tcW w:w="1559" w:type="dxa"/>
            <w:vAlign w:val="center"/>
          </w:tcPr>
          <w:p w14:paraId="29EA848B">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600</w:t>
            </w:r>
          </w:p>
        </w:tc>
        <w:tc>
          <w:tcPr>
            <w:tcW w:w="7230" w:type="dxa"/>
            <w:vMerge w:val="restart"/>
            <w:vAlign w:val="center"/>
          </w:tcPr>
          <w:p w14:paraId="68171950">
            <w:pPr>
              <w:widowControl/>
              <w:spacing w:line="260" w:lineRule="exact"/>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科学、心血管内科学、呼吸内科学、消化内科学、肾内科学、神经内科学、内分泌学、血液病学、风湿与临床免疫学、结核病学、职业病学、肿瘤内科学、儿科学、小儿内科学、精神病学、肿瘤放射治疗学、传染病学、皮肤与性病学、康复医学、疼痛学、老年医学、全科医学等专业</w:t>
            </w:r>
          </w:p>
        </w:tc>
      </w:tr>
      <w:tr w14:paraId="490A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52250198">
            <w:pPr>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710" w:type="dxa"/>
            <w:vMerge w:val="continue"/>
            <w:vAlign w:val="center"/>
          </w:tcPr>
          <w:p w14:paraId="772601F8">
            <w:pPr>
              <w:widowControl/>
              <w:spacing w:line="260" w:lineRule="exact"/>
              <w:jc w:val="center"/>
              <w:rPr>
                <w:rFonts w:ascii="宋体" w:hAnsi="宋体" w:cs="LinTimes"/>
                <w:color w:val="000000" w:themeColor="text1"/>
                <w:szCs w:val="21"/>
                <w14:textFill>
                  <w14:solidFill>
                    <w14:schemeClr w14:val="tx1"/>
                  </w14:solidFill>
                </w14:textFill>
              </w:rPr>
            </w:pPr>
          </w:p>
        </w:tc>
        <w:tc>
          <w:tcPr>
            <w:tcW w:w="2405" w:type="dxa"/>
            <w:vAlign w:val="center"/>
          </w:tcPr>
          <w:p w14:paraId="6FA083E8">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出院人数</w:t>
            </w:r>
          </w:p>
          <w:p w14:paraId="5AD414D5">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（参与或作为治疗组长）</w:t>
            </w:r>
          </w:p>
        </w:tc>
        <w:tc>
          <w:tcPr>
            <w:tcW w:w="794" w:type="dxa"/>
            <w:vAlign w:val="center"/>
          </w:tcPr>
          <w:p w14:paraId="7E9008B2">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人次</w:t>
            </w:r>
          </w:p>
        </w:tc>
        <w:tc>
          <w:tcPr>
            <w:tcW w:w="1609" w:type="dxa"/>
            <w:vAlign w:val="center"/>
          </w:tcPr>
          <w:p w14:paraId="0DF4ED91">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1000</w:t>
            </w:r>
          </w:p>
        </w:tc>
        <w:tc>
          <w:tcPr>
            <w:tcW w:w="1559" w:type="dxa"/>
            <w:vAlign w:val="center"/>
          </w:tcPr>
          <w:p w14:paraId="64EF8D21">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1000</w:t>
            </w:r>
          </w:p>
        </w:tc>
        <w:tc>
          <w:tcPr>
            <w:tcW w:w="7230" w:type="dxa"/>
            <w:vMerge w:val="continue"/>
            <w:vAlign w:val="center"/>
          </w:tcPr>
          <w:p w14:paraId="331C94D3">
            <w:pPr>
              <w:widowControl/>
              <w:spacing w:line="260" w:lineRule="exact"/>
              <w:rPr>
                <w:rFonts w:ascii="宋体" w:hAnsi="宋体"/>
                <w:color w:val="000000" w:themeColor="text1"/>
                <w:szCs w:val="21"/>
                <w14:textFill>
                  <w14:solidFill>
                    <w14:schemeClr w14:val="tx1"/>
                  </w14:solidFill>
                </w14:textFill>
              </w:rPr>
            </w:pPr>
          </w:p>
        </w:tc>
      </w:tr>
      <w:tr w14:paraId="3FA5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54342C64">
            <w:pPr>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710" w:type="dxa"/>
            <w:vMerge w:val="continue"/>
            <w:vAlign w:val="center"/>
          </w:tcPr>
          <w:p w14:paraId="33E2D049">
            <w:pPr>
              <w:widowControl/>
              <w:spacing w:line="260" w:lineRule="exact"/>
              <w:jc w:val="center"/>
              <w:rPr>
                <w:rFonts w:ascii="宋体" w:hAnsi="宋体" w:cs="LinTimes"/>
                <w:color w:val="000000" w:themeColor="text1"/>
                <w:szCs w:val="21"/>
                <w14:textFill>
                  <w14:solidFill>
                    <w14:schemeClr w14:val="tx1"/>
                  </w14:solidFill>
                </w14:textFill>
              </w:rPr>
            </w:pPr>
          </w:p>
        </w:tc>
        <w:tc>
          <w:tcPr>
            <w:tcW w:w="2405" w:type="dxa"/>
            <w:vAlign w:val="center"/>
          </w:tcPr>
          <w:p w14:paraId="2CED009F">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门诊工作量</w:t>
            </w:r>
          </w:p>
          <w:p w14:paraId="68F14857">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（无病房）</w:t>
            </w:r>
          </w:p>
        </w:tc>
        <w:tc>
          <w:tcPr>
            <w:tcW w:w="794" w:type="dxa"/>
            <w:vAlign w:val="center"/>
          </w:tcPr>
          <w:p w14:paraId="68ED8A38">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单元</w:t>
            </w:r>
          </w:p>
        </w:tc>
        <w:tc>
          <w:tcPr>
            <w:tcW w:w="1609" w:type="dxa"/>
            <w:vAlign w:val="center"/>
          </w:tcPr>
          <w:p w14:paraId="339EBC04">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500</w:t>
            </w:r>
          </w:p>
        </w:tc>
        <w:tc>
          <w:tcPr>
            <w:tcW w:w="1559" w:type="dxa"/>
            <w:vAlign w:val="center"/>
          </w:tcPr>
          <w:p w14:paraId="3111AA9A">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800</w:t>
            </w:r>
          </w:p>
        </w:tc>
        <w:tc>
          <w:tcPr>
            <w:tcW w:w="7230" w:type="dxa"/>
            <w:vAlign w:val="center"/>
          </w:tcPr>
          <w:p w14:paraId="78C57DBE">
            <w:pPr>
              <w:widowControl/>
              <w:spacing w:line="260" w:lineRule="exact"/>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内科学、肾内科学、皮肤与性病学、精神病学、康复医学、疼痛学、老年医学、全科医学、传染病学、儿童保健、妇女保健、妇幼保健等专业</w:t>
            </w:r>
          </w:p>
        </w:tc>
      </w:tr>
      <w:tr w14:paraId="68DC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094BD26E">
            <w:pPr>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710" w:type="dxa"/>
            <w:vMerge w:val="continue"/>
            <w:vAlign w:val="center"/>
          </w:tcPr>
          <w:p w14:paraId="36F2884E">
            <w:pPr>
              <w:widowControl/>
              <w:spacing w:line="260" w:lineRule="exact"/>
              <w:jc w:val="center"/>
              <w:rPr>
                <w:rFonts w:ascii="宋体" w:hAnsi="宋体" w:cs="LinTimes"/>
                <w:color w:val="000000" w:themeColor="text1"/>
                <w:szCs w:val="21"/>
                <w14:textFill>
                  <w14:solidFill>
                    <w14:schemeClr w14:val="tx1"/>
                  </w14:solidFill>
                </w14:textFill>
              </w:rPr>
            </w:pPr>
          </w:p>
        </w:tc>
        <w:tc>
          <w:tcPr>
            <w:tcW w:w="2405" w:type="dxa"/>
            <w:vAlign w:val="center"/>
          </w:tcPr>
          <w:p w14:paraId="5D671C2E">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手术/操作人次</w:t>
            </w:r>
          </w:p>
        </w:tc>
        <w:tc>
          <w:tcPr>
            <w:tcW w:w="794" w:type="dxa"/>
            <w:vAlign w:val="center"/>
          </w:tcPr>
          <w:p w14:paraId="173A920F">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人次</w:t>
            </w:r>
          </w:p>
        </w:tc>
        <w:tc>
          <w:tcPr>
            <w:tcW w:w="1609" w:type="dxa"/>
            <w:vAlign w:val="center"/>
          </w:tcPr>
          <w:p w14:paraId="4268B97C">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szCs w:val="21"/>
                <w14:textFill>
                  <w14:solidFill>
                    <w14:schemeClr w14:val="tx1"/>
                  </w14:solidFill>
                </w14:textFill>
              </w:rPr>
              <w:t>内镜 5000；</w:t>
            </w:r>
          </w:p>
          <w:p w14:paraId="40E7CD79">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szCs w:val="21"/>
                <w14:textFill>
                  <w14:solidFill>
                    <w14:schemeClr w14:val="tx1"/>
                  </w14:solidFill>
                </w14:textFill>
              </w:rPr>
              <w:t>支气管镜200</w:t>
            </w:r>
          </w:p>
        </w:tc>
        <w:tc>
          <w:tcPr>
            <w:tcW w:w="1559" w:type="dxa"/>
            <w:vAlign w:val="center"/>
          </w:tcPr>
          <w:p w14:paraId="75E2F14E">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szCs w:val="21"/>
                <w14:textFill>
                  <w14:solidFill>
                    <w14:schemeClr w14:val="tx1"/>
                  </w14:solidFill>
                </w14:textFill>
              </w:rPr>
              <w:t>内镜 5000；</w:t>
            </w:r>
          </w:p>
          <w:p w14:paraId="69425B37">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szCs w:val="21"/>
                <w14:textFill>
                  <w14:solidFill>
                    <w14:schemeClr w14:val="tx1"/>
                  </w14:solidFill>
                </w14:textFill>
              </w:rPr>
              <w:t>支气管镜200</w:t>
            </w:r>
          </w:p>
        </w:tc>
        <w:tc>
          <w:tcPr>
            <w:tcW w:w="7230" w:type="dxa"/>
            <w:vAlign w:val="center"/>
          </w:tcPr>
          <w:p w14:paraId="30CA2E17">
            <w:pPr>
              <w:widowControl/>
              <w:spacing w:line="260" w:lineRule="exact"/>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消化内科学、呼吸内科学</w:t>
            </w:r>
          </w:p>
        </w:tc>
      </w:tr>
      <w:tr w14:paraId="340F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628C8E3A">
            <w:pPr>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710" w:type="dxa"/>
            <w:vMerge w:val="restart"/>
            <w:vAlign w:val="center"/>
          </w:tcPr>
          <w:p w14:paraId="51AFB421">
            <w:pPr>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手术为主临床专业</w:t>
            </w:r>
          </w:p>
        </w:tc>
        <w:tc>
          <w:tcPr>
            <w:tcW w:w="2405" w:type="dxa"/>
            <w:vMerge w:val="restart"/>
            <w:vAlign w:val="center"/>
          </w:tcPr>
          <w:p w14:paraId="781DAF84">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门诊工作量</w:t>
            </w:r>
          </w:p>
          <w:p w14:paraId="3D797B3A">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（有病房）</w:t>
            </w:r>
          </w:p>
        </w:tc>
        <w:tc>
          <w:tcPr>
            <w:tcW w:w="794" w:type="dxa"/>
            <w:vMerge w:val="restart"/>
            <w:vAlign w:val="center"/>
          </w:tcPr>
          <w:p w14:paraId="2641D02D">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单元</w:t>
            </w:r>
          </w:p>
        </w:tc>
        <w:tc>
          <w:tcPr>
            <w:tcW w:w="1609" w:type="dxa"/>
            <w:vAlign w:val="center"/>
          </w:tcPr>
          <w:p w14:paraId="75E923F5">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400</w:t>
            </w:r>
          </w:p>
        </w:tc>
        <w:tc>
          <w:tcPr>
            <w:tcW w:w="1559" w:type="dxa"/>
            <w:vAlign w:val="center"/>
          </w:tcPr>
          <w:p w14:paraId="45E0CDC5">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500</w:t>
            </w:r>
          </w:p>
        </w:tc>
        <w:tc>
          <w:tcPr>
            <w:tcW w:w="7230" w:type="dxa"/>
            <w:vAlign w:val="center"/>
          </w:tcPr>
          <w:p w14:paraId="3B5657F1">
            <w:pPr>
              <w:widowControl/>
              <w:spacing w:line="260" w:lineRule="exact"/>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外科学、普通外科学、骨外科学、泌尿外科学、肿瘤外科学、妇产科学、妇科学、产科学、生殖医学、计划生育、小儿外科学、眼科学、耳鼻咽喉科学；以介入为主的心血管内科学、神经内科学等专业</w:t>
            </w:r>
          </w:p>
        </w:tc>
      </w:tr>
      <w:tr w14:paraId="1F6D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635782DD">
            <w:pPr>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710" w:type="dxa"/>
            <w:vMerge w:val="continue"/>
            <w:vAlign w:val="center"/>
          </w:tcPr>
          <w:p w14:paraId="089E23C0">
            <w:pPr>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2405" w:type="dxa"/>
            <w:vMerge w:val="continue"/>
            <w:vAlign w:val="center"/>
          </w:tcPr>
          <w:p w14:paraId="2FF85477">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794" w:type="dxa"/>
            <w:vMerge w:val="continue"/>
            <w:vAlign w:val="center"/>
          </w:tcPr>
          <w:p w14:paraId="5DD3D8F1">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1609" w:type="dxa"/>
            <w:vAlign w:val="center"/>
          </w:tcPr>
          <w:p w14:paraId="68F8EBDE">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300</w:t>
            </w:r>
          </w:p>
        </w:tc>
        <w:tc>
          <w:tcPr>
            <w:tcW w:w="1559" w:type="dxa"/>
            <w:vAlign w:val="center"/>
          </w:tcPr>
          <w:p w14:paraId="1C3CBD66">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400</w:t>
            </w:r>
          </w:p>
        </w:tc>
        <w:tc>
          <w:tcPr>
            <w:tcW w:w="7230" w:type="dxa"/>
            <w:vAlign w:val="center"/>
          </w:tcPr>
          <w:p w14:paraId="46F091D5">
            <w:pPr>
              <w:widowControl/>
              <w:spacing w:line="260" w:lineRule="exact"/>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胸心外科学、神经外科学、烧伤外科学、整形外科学</w:t>
            </w:r>
          </w:p>
        </w:tc>
      </w:tr>
      <w:tr w14:paraId="32E34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6317CA79">
            <w:pPr>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710" w:type="dxa"/>
            <w:vMerge w:val="continue"/>
            <w:vAlign w:val="center"/>
          </w:tcPr>
          <w:p w14:paraId="03AC39A5">
            <w:pPr>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2405" w:type="dxa"/>
            <w:vAlign w:val="center"/>
          </w:tcPr>
          <w:p w14:paraId="3CB5F20B">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门诊工作量</w:t>
            </w:r>
          </w:p>
          <w:p w14:paraId="6CEB886B">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（无病房）</w:t>
            </w:r>
          </w:p>
        </w:tc>
        <w:tc>
          <w:tcPr>
            <w:tcW w:w="794" w:type="dxa"/>
            <w:vAlign w:val="center"/>
          </w:tcPr>
          <w:p w14:paraId="03F6E880">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单元</w:t>
            </w:r>
          </w:p>
        </w:tc>
        <w:tc>
          <w:tcPr>
            <w:tcW w:w="1609" w:type="dxa"/>
            <w:vAlign w:val="center"/>
          </w:tcPr>
          <w:p w14:paraId="54030CE6">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500</w:t>
            </w:r>
          </w:p>
        </w:tc>
        <w:tc>
          <w:tcPr>
            <w:tcW w:w="1559" w:type="dxa"/>
            <w:vAlign w:val="center"/>
          </w:tcPr>
          <w:p w14:paraId="76B22FF8">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800</w:t>
            </w:r>
          </w:p>
        </w:tc>
        <w:tc>
          <w:tcPr>
            <w:tcW w:w="7230" w:type="dxa"/>
            <w:vAlign w:val="center"/>
          </w:tcPr>
          <w:p w14:paraId="29954901">
            <w:pPr>
              <w:widowControl/>
              <w:spacing w:line="260" w:lineRule="exact"/>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外科学、普通外科学、妇产科学、妇科学、生殖医学、计划生育、眼科学、耳鼻咽喉科学等专业</w:t>
            </w:r>
          </w:p>
        </w:tc>
      </w:tr>
      <w:tr w14:paraId="206B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265F8223">
            <w:pPr>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710" w:type="dxa"/>
            <w:vMerge w:val="continue"/>
            <w:vAlign w:val="center"/>
          </w:tcPr>
          <w:p w14:paraId="0EDFD7EE">
            <w:pPr>
              <w:widowControl/>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2405" w:type="dxa"/>
            <w:vMerge w:val="restart"/>
            <w:vAlign w:val="center"/>
          </w:tcPr>
          <w:p w14:paraId="2B818977">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出院人数</w:t>
            </w:r>
          </w:p>
          <w:p w14:paraId="7958F346">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（参与或作为治疗组长）</w:t>
            </w:r>
          </w:p>
        </w:tc>
        <w:tc>
          <w:tcPr>
            <w:tcW w:w="794" w:type="dxa"/>
            <w:vMerge w:val="restart"/>
            <w:vAlign w:val="center"/>
          </w:tcPr>
          <w:p w14:paraId="5FB074AE">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人次</w:t>
            </w:r>
          </w:p>
        </w:tc>
        <w:tc>
          <w:tcPr>
            <w:tcW w:w="1609" w:type="dxa"/>
            <w:vAlign w:val="center"/>
          </w:tcPr>
          <w:p w14:paraId="4BA3A490">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400</w:t>
            </w:r>
          </w:p>
        </w:tc>
        <w:tc>
          <w:tcPr>
            <w:tcW w:w="1559" w:type="dxa"/>
            <w:vAlign w:val="center"/>
          </w:tcPr>
          <w:p w14:paraId="55F6233C">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500</w:t>
            </w:r>
          </w:p>
        </w:tc>
        <w:tc>
          <w:tcPr>
            <w:tcW w:w="7230" w:type="dxa"/>
            <w:vAlign w:val="center"/>
          </w:tcPr>
          <w:p w14:paraId="02B74780">
            <w:pPr>
              <w:widowControl/>
              <w:spacing w:line="260" w:lineRule="exact"/>
              <w:jc w:val="left"/>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胸心外科学（心外）、神经外科学、烧伤外科学；</w:t>
            </w:r>
            <w:r>
              <w:rPr>
                <w:rFonts w:hint="eastAsia" w:ascii="宋体" w:hAnsi="宋体"/>
                <w:color w:val="000000" w:themeColor="text1"/>
                <w:szCs w:val="21"/>
                <w14:textFill>
                  <w14:solidFill>
                    <w14:schemeClr w14:val="tx1"/>
                  </w14:solidFill>
                </w14:textFill>
              </w:rPr>
              <w:t>以介入为主的心血管内科学、神经内科学等专业</w:t>
            </w:r>
          </w:p>
        </w:tc>
      </w:tr>
      <w:tr w14:paraId="72A3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7099E565">
            <w:pPr>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710" w:type="dxa"/>
            <w:vMerge w:val="continue"/>
            <w:vAlign w:val="center"/>
          </w:tcPr>
          <w:p w14:paraId="3B0A7A63">
            <w:pPr>
              <w:widowControl/>
              <w:spacing w:line="260" w:lineRule="exact"/>
              <w:jc w:val="center"/>
              <w:rPr>
                <w:rFonts w:ascii="宋体" w:hAnsi="宋体" w:cs="LinTimes"/>
                <w:color w:val="000000" w:themeColor="text1"/>
                <w:szCs w:val="21"/>
                <w14:textFill>
                  <w14:solidFill>
                    <w14:schemeClr w14:val="tx1"/>
                  </w14:solidFill>
                </w14:textFill>
              </w:rPr>
            </w:pPr>
          </w:p>
        </w:tc>
        <w:tc>
          <w:tcPr>
            <w:tcW w:w="2405" w:type="dxa"/>
            <w:vMerge w:val="continue"/>
            <w:vAlign w:val="center"/>
          </w:tcPr>
          <w:p w14:paraId="40224462">
            <w:pPr>
              <w:widowControl/>
              <w:spacing w:line="260" w:lineRule="exact"/>
              <w:jc w:val="center"/>
              <w:rPr>
                <w:rFonts w:ascii="宋体" w:hAnsi="宋体" w:cs="LinTimes"/>
                <w:color w:val="000000" w:themeColor="text1"/>
                <w:szCs w:val="21"/>
                <w14:textFill>
                  <w14:solidFill>
                    <w14:schemeClr w14:val="tx1"/>
                  </w14:solidFill>
                </w14:textFill>
              </w:rPr>
            </w:pPr>
          </w:p>
        </w:tc>
        <w:tc>
          <w:tcPr>
            <w:tcW w:w="794" w:type="dxa"/>
            <w:vMerge w:val="continue"/>
            <w:vAlign w:val="center"/>
          </w:tcPr>
          <w:p w14:paraId="1241C242">
            <w:pPr>
              <w:widowControl/>
              <w:spacing w:line="260" w:lineRule="exact"/>
              <w:jc w:val="center"/>
              <w:rPr>
                <w:rFonts w:ascii="宋体" w:hAnsi="宋体" w:cs="LinTimes"/>
                <w:color w:val="000000" w:themeColor="text1"/>
                <w:szCs w:val="21"/>
                <w14:textFill>
                  <w14:solidFill>
                    <w14:schemeClr w14:val="tx1"/>
                  </w14:solidFill>
                </w14:textFill>
              </w:rPr>
            </w:pPr>
          </w:p>
        </w:tc>
        <w:tc>
          <w:tcPr>
            <w:tcW w:w="1609" w:type="dxa"/>
            <w:vAlign w:val="center"/>
          </w:tcPr>
          <w:p w14:paraId="0DEE2056">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1500</w:t>
            </w:r>
          </w:p>
        </w:tc>
        <w:tc>
          <w:tcPr>
            <w:tcW w:w="1559" w:type="dxa"/>
            <w:vAlign w:val="center"/>
          </w:tcPr>
          <w:p w14:paraId="1D03A235">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2000</w:t>
            </w:r>
          </w:p>
        </w:tc>
        <w:tc>
          <w:tcPr>
            <w:tcW w:w="7230" w:type="dxa"/>
            <w:vAlign w:val="center"/>
          </w:tcPr>
          <w:p w14:paraId="56B55352">
            <w:pPr>
              <w:widowControl/>
              <w:spacing w:line="260" w:lineRule="exact"/>
              <w:jc w:val="left"/>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外科学、普通外科学、骨外科学、妇产科学、妇科学、产科学、眼科学</w:t>
            </w:r>
          </w:p>
        </w:tc>
      </w:tr>
      <w:tr w14:paraId="7C05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437925C2">
            <w:pPr>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710" w:type="dxa"/>
            <w:vMerge w:val="continue"/>
            <w:vAlign w:val="center"/>
          </w:tcPr>
          <w:p w14:paraId="65A12A78">
            <w:pPr>
              <w:widowControl/>
              <w:spacing w:line="260" w:lineRule="exact"/>
              <w:jc w:val="center"/>
              <w:rPr>
                <w:rFonts w:ascii="宋体" w:hAnsi="宋体" w:cs="LinTimes"/>
                <w:color w:val="000000" w:themeColor="text1"/>
                <w:szCs w:val="21"/>
                <w14:textFill>
                  <w14:solidFill>
                    <w14:schemeClr w14:val="tx1"/>
                  </w14:solidFill>
                </w14:textFill>
              </w:rPr>
            </w:pPr>
          </w:p>
        </w:tc>
        <w:tc>
          <w:tcPr>
            <w:tcW w:w="2405" w:type="dxa"/>
            <w:vMerge w:val="continue"/>
            <w:vAlign w:val="center"/>
          </w:tcPr>
          <w:p w14:paraId="5BFFBEA0">
            <w:pPr>
              <w:widowControl/>
              <w:spacing w:line="260" w:lineRule="exact"/>
              <w:jc w:val="center"/>
              <w:rPr>
                <w:rFonts w:ascii="宋体" w:hAnsi="宋体" w:cs="LinTimes"/>
                <w:color w:val="000000" w:themeColor="text1"/>
                <w:szCs w:val="21"/>
                <w14:textFill>
                  <w14:solidFill>
                    <w14:schemeClr w14:val="tx1"/>
                  </w14:solidFill>
                </w14:textFill>
              </w:rPr>
            </w:pPr>
          </w:p>
        </w:tc>
        <w:tc>
          <w:tcPr>
            <w:tcW w:w="794" w:type="dxa"/>
            <w:vMerge w:val="continue"/>
            <w:vAlign w:val="center"/>
          </w:tcPr>
          <w:p w14:paraId="3A04BCD7">
            <w:pPr>
              <w:widowControl/>
              <w:spacing w:line="260" w:lineRule="exact"/>
              <w:jc w:val="center"/>
              <w:rPr>
                <w:rFonts w:ascii="宋体" w:hAnsi="宋体" w:cs="LinTimes"/>
                <w:color w:val="000000" w:themeColor="text1"/>
                <w:szCs w:val="21"/>
                <w14:textFill>
                  <w14:solidFill>
                    <w14:schemeClr w14:val="tx1"/>
                  </w14:solidFill>
                </w14:textFill>
              </w:rPr>
            </w:pPr>
          </w:p>
        </w:tc>
        <w:tc>
          <w:tcPr>
            <w:tcW w:w="1609" w:type="dxa"/>
            <w:vAlign w:val="center"/>
          </w:tcPr>
          <w:p w14:paraId="1E1AC309">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600</w:t>
            </w:r>
          </w:p>
        </w:tc>
        <w:tc>
          <w:tcPr>
            <w:tcW w:w="1559" w:type="dxa"/>
            <w:vAlign w:val="center"/>
          </w:tcPr>
          <w:p w14:paraId="3FE75811">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1000</w:t>
            </w:r>
          </w:p>
        </w:tc>
        <w:tc>
          <w:tcPr>
            <w:tcW w:w="7230" w:type="dxa"/>
            <w:vAlign w:val="center"/>
          </w:tcPr>
          <w:p w14:paraId="3FA1E20B">
            <w:pPr>
              <w:widowControl/>
              <w:spacing w:line="260" w:lineRule="exact"/>
              <w:jc w:val="left"/>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胸心外科学（胸外）、泌尿外科学、耳鼻咽喉科学、肿瘤外科学、小儿外科学</w:t>
            </w:r>
          </w:p>
        </w:tc>
      </w:tr>
      <w:tr w14:paraId="20CD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2D306CEE">
            <w:pPr>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710" w:type="dxa"/>
            <w:vMerge w:val="continue"/>
            <w:vAlign w:val="center"/>
          </w:tcPr>
          <w:p w14:paraId="030D62FA">
            <w:pPr>
              <w:widowControl/>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2405" w:type="dxa"/>
            <w:vMerge w:val="restart"/>
            <w:vAlign w:val="center"/>
          </w:tcPr>
          <w:p w14:paraId="3C277A19">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出院患者手术</w:t>
            </w:r>
          </w:p>
          <w:p w14:paraId="481D6D53">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/操作人次</w:t>
            </w:r>
          </w:p>
        </w:tc>
        <w:tc>
          <w:tcPr>
            <w:tcW w:w="794" w:type="dxa"/>
            <w:vMerge w:val="restart"/>
            <w:vAlign w:val="center"/>
          </w:tcPr>
          <w:p w14:paraId="200EA5C6">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人次</w:t>
            </w:r>
          </w:p>
        </w:tc>
        <w:tc>
          <w:tcPr>
            <w:tcW w:w="1609" w:type="dxa"/>
            <w:vAlign w:val="center"/>
          </w:tcPr>
          <w:p w14:paraId="28A9925D">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800</w:t>
            </w:r>
          </w:p>
        </w:tc>
        <w:tc>
          <w:tcPr>
            <w:tcW w:w="1559" w:type="dxa"/>
            <w:vAlign w:val="center"/>
          </w:tcPr>
          <w:p w14:paraId="4CF18EF0">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1000</w:t>
            </w:r>
          </w:p>
        </w:tc>
        <w:tc>
          <w:tcPr>
            <w:tcW w:w="7230" w:type="dxa"/>
            <w:vAlign w:val="center"/>
          </w:tcPr>
          <w:p w14:paraId="49B72320">
            <w:pPr>
              <w:widowControl/>
              <w:spacing w:line="260" w:lineRule="exact"/>
              <w:jc w:val="left"/>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外科学、普通外科学、骨外科学、眼科学</w:t>
            </w:r>
          </w:p>
        </w:tc>
      </w:tr>
      <w:tr w14:paraId="42B5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046B83B3">
            <w:pPr>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710" w:type="dxa"/>
            <w:vMerge w:val="continue"/>
            <w:vAlign w:val="center"/>
          </w:tcPr>
          <w:p w14:paraId="27D7F926">
            <w:pPr>
              <w:widowControl/>
              <w:spacing w:line="260" w:lineRule="exact"/>
              <w:jc w:val="center"/>
              <w:rPr>
                <w:rFonts w:ascii="宋体" w:hAnsi="宋体" w:cs="LinTimes"/>
                <w:color w:val="000000" w:themeColor="text1"/>
                <w:szCs w:val="21"/>
                <w14:textFill>
                  <w14:solidFill>
                    <w14:schemeClr w14:val="tx1"/>
                  </w14:solidFill>
                </w14:textFill>
              </w:rPr>
            </w:pPr>
          </w:p>
        </w:tc>
        <w:tc>
          <w:tcPr>
            <w:tcW w:w="2405" w:type="dxa"/>
            <w:vMerge w:val="continue"/>
            <w:vAlign w:val="center"/>
          </w:tcPr>
          <w:p w14:paraId="2EB87FD1">
            <w:pPr>
              <w:widowControl/>
              <w:spacing w:line="260" w:lineRule="exact"/>
              <w:jc w:val="center"/>
              <w:rPr>
                <w:rFonts w:ascii="宋体" w:hAnsi="宋体" w:cs="LinTimes"/>
                <w:color w:val="000000" w:themeColor="text1"/>
                <w:szCs w:val="21"/>
                <w14:textFill>
                  <w14:solidFill>
                    <w14:schemeClr w14:val="tx1"/>
                  </w14:solidFill>
                </w14:textFill>
              </w:rPr>
            </w:pPr>
          </w:p>
        </w:tc>
        <w:tc>
          <w:tcPr>
            <w:tcW w:w="794" w:type="dxa"/>
            <w:vMerge w:val="continue"/>
            <w:vAlign w:val="center"/>
          </w:tcPr>
          <w:p w14:paraId="4F69D360">
            <w:pPr>
              <w:widowControl/>
              <w:spacing w:line="260" w:lineRule="exact"/>
              <w:jc w:val="center"/>
              <w:rPr>
                <w:rFonts w:ascii="宋体" w:hAnsi="宋体" w:cs="LinTimes"/>
                <w:color w:val="000000" w:themeColor="text1"/>
                <w:szCs w:val="21"/>
                <w14:textFill>
                  <w14:solidFill>
                    <w14:schemeClr w14:val="tx1"/>
                  </w14:solidFill>
                </w14:textFill>
              </w:rPr>
            </w:pPr>
          </w:p>
        </w:tc>
        <w:tc>
          <w:tcPr>
            <w:tcW w:w="1609" w:type="dxa"/>
            <w:vAlign w:val="center"/>
          </w:tcPr>
          <w:p w14:paraId="197863E5">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400</w:t>
            </w:r>
          </w:p>
        </w:tc>
        <w:tc>
          <w:tcPr>
            <w:tcW w:w="1559" w:type="dxa"/>
            <w:vAlign w:val="center"/>
          </w:tcPr>
          <w:p w14:paraId="31C4F6DF">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500</w:t>
            </w:r>
          </w:p>
        </w:tc>
        <w:tc>
          <w:tcPr>
            <w:tcW w:w="7230" w:type="dxa"/>
            <w:vAlign w:val="center"/>
          </w:tcPr>
          <w:p w14:paraId="1C64DF6E">
            <w:pPr>
              <w:widowControl/>
              <w:spacing w:line="260" w:lineRule="exact"/>
              <w:jc w:val="left"/>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胸心外科学（胸外），泌尿外科学、小儿外科学、耳鼻咽喉科学、肿瘤外科学、妇产科学、妇科学、产科学</w:t>
            </w:r>
          </w:p>
        </w:tc>
      </w:tr>
      <w:tr w14:paraId="6890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6DC7934D">
            <w:pPr>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710" w:type="dxa"/>
            <w:vMerge w:val="continue"/>
            <w:vAlign w:val="center"/>
          </w:tcPr>
          <w:p w14:paraId="4F254595">
            <w:pPr>
              <w:widowControl/>
              <w:spacing w:line="260" w:lineRule="exact"/>
              <w:jc w:val="center"/>
              <w:rPr>
                <w:rFonts w:ascii="宋体" w:hAnsi="宋体" w:cs="LinTimes"/>
                <w:color w:val="000000" w:themeColor="text1"/>
                <w:szCs w:val="21"/>
                <w14:textFill>
                  <w14:solidFill>
                    <w14:schemeClr w14:val="tx1"/>
                  </w14:solidFill>
                </w14:textFill>
              </w:rPr>
            </w:pPr>
          </w:p>
        </w:tc>
        <w:tc>
          <w:tcPr>
            <w:tcW w:w="2405" w:type="dxa"/>
            <w:vMerge w:val="continue"/>
            <w:vAlign w:val="center"/>
          </w:tcPr>
          <w:p w14:paraId="6B1ACD0D">
            <w:pPr>
              <w:widowControl/>
              <w:spacing w:line="260" w:lineRule="exact"/>
              <w:jc w:val="center"/>
              <w:rPr>
                <w:rFonts w:ascii="宋体" w:hAnsi="宋体" w:cs="LinTimes"/>
                <w:color w:val="000000" w:themeColor="text1"/>
                <w:szCs w:val="21"/>
                <w14:textFill>
                  <w14:solidFill>
                    <w14:schemeClr w14:val="tx1"/>
                  </w14:solidFill>
                </w14:textFill>
              </w:rPr>
            </w:pPr>
          </w:p>
        </w:tc>
        <w:tc>
          <w:tcPr>
            <w:tcW w:w="794" w:type="dxa"/>
            <w:vMerge w:val="continue"/>
            <w:vAlign w:val="center"/>
          </w:tcPr>
          <w:p w14:paraId="1FC144FF">
            <w:pPr>
              <w:widowControl/>
              <w:spacing w:line="260" w:lineRule="exact"/>
              <w:jc w:val="center"/>
              <w:rPr>
                <w:rFonts w:ascii="宋体" w:hAnsi="宋体" w:cs="LinTimes"/>
                <w:color w:val="000000" w:themeColor="text1"/>
                <w:szCs w:val="21"/>
                <w14:textFill>
                  <w14:solidFill>
                    <w14:schemeClr w14:val="tx1"/>
                  </w14:solidFill>
                </w14:textFill>
              </w:rPr>
            </w:pPr>
          </w:p>
        </w:tc>
        <w:tc>
          <w:tcPr>
            <w:tcW w:w="1609" w:type="dxa"/>
            <w:vAlign w:val="center"/>
          </w:tcPr>
          <w:p w14:paraId="00433401">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200</w:t>
            </w:r>
          </w:p>
        </w:tc>
        <w:tc>
          <w:tcPr>
            <w:tcW w:w="1559" w:type="dxa"/>
            <w:vAlign w:val="center"/>
          </w:tcPr>
          <w:p w14:paraId="3318C9F7">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300</w:t>
            </w:r>
          </w:p>
        </w:tc>
        <w:tc>
          <w:tcPr>
            <w:tcW w:w="7230" w:type="dxa"/>
            <w:vAlign w:val="center"/>
          </w:tcPr>
          <w:p w14:paraId="5BDBCB84">
            <w:pPr>
              <w:widowControl/>
              <w:spacing w:line="260" w:lineRule="exact"/>
              <w:jc w:val="left"/>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胸心外科学（心外）、神经外科学、烧伤外科学；以介入为主的心血管内科学、神经内科学等专业</w:t>
            </w:r>
          </w:p>
        </w:tc>
      </w:tr>
      <w:tr w14:paraId="7E6D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7A0FC3A9">
            <w:pPr>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710" w:type="dxa"/>
            <w:vMerge w:val="continue"/>
            <w:vAlign w:val="center"/>
          </w:tcPr>
          <w:p w14:paraId="59860F70">
            <w:pPr>
              <w:widowControl/>
              <w:spacing w:line="260" w:lineRule="exact"/>
              <w:jc w:val="center"/>
              <w:rPr>
                <w:rFonts w:ascii="宋体" w:hAnsi="宋体" w:cs="LinTimes"/>
                <w:color w:val="000000" w:themeColor="text1"/>
                <w:szCs w:val="21"/>
                <w14:textFill>
                  <w14:solidFill>
                    <w14:schemeClr w14:val="tx1"/>
                  </w14:solidFill>
                </w14:textFill>
              </w:rPr>
            </w:pPr>
          </w:p>
        </w:tc>
        <w:tc>
          <w:tcPr>
            <w:tcW w:w="2405" w:type="dxa"/>
            <w:vAlign w:val="center"/>
          </w:tcPr>
          <w:p w14:paraId="1E0DB6C1">
            <w:pPr>
              <w:widowControl/>
              <w:spacing w:line="260" w:lineRule="exact"/>
              <w:jc w:val="center"/>
              <w:rPr>
                <w:rFonts w:ascii="宋体" w:hAnsi="宋体" w:cs="LinTimes"/>
                <w:color w:val="000000" w:themeColor="text1"/>
                <w:szCs w:val="21"/>
                <w14:textFill>
                  <w14:solidFill>
                    <w14:schemeClr w14:val="tx1"/>
                  </w14:solidFill>
                </w14:textFill>
              </w:rPr>
            </w:pPr>
            <w:r>
              <w:rPr>
                <w:rFonts w:hint="eastAsia" w:ascii="宋体" w:hAnsi="宋体" w:cs="仿宋_GB2312"/>
                <w:bCs/>
                <w:color w:val="000000" w:themeColor="text1"/>
                <w:kern w:val="0"/>
                <w:szCs w:val="21"/>
                <w14:textFill>
                  <w14:solidFill>
                    <w14:schemeClr w14:val="tx1"/>
                  </w14:solidFill>
                </w14:textFill>
              </w:rPr>
              <w:t>手术／操作人次数（含门诊患者和出院患者手术／操作人次数）</w:t>
            </w:r>
          </w:p>
        </w:tc>
        <w:tc>
          <w:tcPr>
            <w:tcW w:w="794" w:type="dxa"/>
            <w:vAlign w:val="center"/>
          </w:tcPr>
          <w:p w14:paraId="160320B1">
            <w:pPr>
              <w:widowControl/>
              <w:spacing w:line="260" w:lineRule="exact"/>
              <w:jc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人次</w:t>
            </w:r>
          </w:p>
        </w:tc>
        <w:tc>
          <w:tcPr>
            <w:tcW w:w="1609" w:type="dxa"/>
            <w:vAlign w:val="center"/>
          </w:tcPr>
          <w:p w14:paraId="01EAE893">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800</w:t>
            </w:r>
          </w:p>
        </w:tc>
        <w:tc>
          <w:tcPr>
            <w:tcW w:w="1559" w:type="dxa"/>
            <w:vAlign w:val="center"/>
          </w:tcPr>
          <w:p w14:paraId="2596BDE7">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1000</w:t>
            </w:r>
          </w:p>
        </w:tc>
        <w:tc>
          <w:tcPr>
            <w:tcW w:w="7230" w:type="dxa"/>
            <w:vAlign w:val="center"/>
          </w:tcPr>
          <w:p w14:paraId="0AB1B262">
            <w:pPr>
              <w:widowControl/>
              <w:spacing w:line="260" w:lineRule="exact"/>
              <w:jc w:val="left"/>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整形外科学、计划生育等专业</w:t>
            </w:r>
          </w:p>
        </w:tc>
      </w:tr>
      <w:tr w14:paraId="5DFA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578DE38E">
            <w:pPr>
              <w:widowControl/>
              <w:spacing w:line="260" w:lineRule="exact"/>
              <w:jc w:val="center"/>
              <w:textAlignment w:val="center"/>
              <w:rPr>
                <w:rFonts w:ascii="宋体" w:hAnsi="宋体" w:cs="LinTimes"/>
                <w:color w:val="000000" w:themeColor="text1"/>
                <w:szCs w:val="21"/>
                <w14:textFill>
                  <w14:solidFill>
                    <w14:schemeClr w14:val="tx1"/>
                  </w14:solidFill>
                </w14:textFill>
              </w:rPr>
            </w:pPr>
          </w:p>
        </w:tc>
        <w:tc>
          <w:tcPr>
            <w:tcW w:w="710" w:type="dxa"/>
            <w:vMerge w:val="restart"/>
            <w:vAlign w:val="center"/>
          </w:tcPr>
          <w:p w14:paraId="25276B2A">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其他临床专业</w:t>
            </w:r>
          </w:p>
        </w:tc>
        <w:tc>
          <w:tcPr>
            <w:tcW w:w="2405" w:type="dxa"/>
            <w:vAlign w:val="center"/>
          </w:tcPr>
          <w:p w14:paraId="245FA432">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参与诊疗患者人数</w:t>
            </w:r>
          </w:p>
        </w:tc>
        <w:tc>
          <w:tcPr>
            <w:tcW w:w="794" w:type="dxa"/>
            <w:vAlign w:val="center"/>
          </w:tcPr>
          <w:p w14:paraId="41C9218D">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人次</w:t>
            </w:r>
          </w:p>
        </w:tc>
        <w:tc>
          <w:tcPr>
            <w:tcW w:w="1609" w:type="dxa"/>
            <w:vAlign w:val="center"/>
          </w:tcPr>
          <w:p w14:paraId="4DEA42A8">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1500</w:t>
            </w:r>
          </w:p>
        </w:tc>
        <w:tc>
          <w:tcPr>
            <w:tcW w:w="1559" w:type="dxa"/>
            <w:vAlign w:val="center"/>
          </w:tcPr>
          <w:p w14:paraId="5DA797A9">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1000</w:t>
            </w:r>
          </w:p>
        </w:tc>
        <w:tc>
          <w:tcPr>
            <w:tcW w:w="7230" w:type="dxa"/>
            <w:vAlign w:val="center"/>
          </w:tcPr>
          <w:p w14:paraId="4E66BDE1">
            <w:pPr>
              <w:widowControl/>
              <w:spacing w:line="260" w:lineRule="exact"/>
              <w:jc w:val="left"/>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重症医学、麻醉学、疼痛学、急诊医学、临床医学检验学、临床输血、临床营养学等专业</w:t>
            </w:r>
          </w:p>
        </w:tc>
      </w:tr>
      <w:tr w14:paraId="1224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7EEC158B">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710" w:type="dxa"/>
            <w:vMerge w:val="continue"/>
            <w:vAlign w:val="center"/>
          </w:tcPr>
          <w:p w14:paraId="7B91A623">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2405" w:type="dxa"/>
            <w:vMerge w:val="restart"/>
            <w:vAlign w:val="center"/>
          </w:tcPr>
          <w:p w14:paraId="7B2BF464">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签发检查报告份数</w:t>
            </w:r>
          </w:p>
        </w:tc>
        <w:tc>
          <w:tcPr>
            <w:tcW w:w="794" w:type="dxa"/>
            <w:vAlign w:val="center"/>
          </w:tcPr>
          <w:p w14:paraId="4E59D03C">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份</w:t>
            </w:r>
          </w:p>
        </w:tc>
        <w:tc>
          <w:tcPr>
            <w:tcW w:w="1609" w:type="dxa"/>
            <w:vAlign w:val="center"/>
          </w:tcPr>
          <w:p w14:paraId="3DFC8732">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7500</w:t>
            </w:r>
          </w:p>
        </w:tc>
        <w:tc>
          <w:tcPr>
            <w:tcW w:w="1559" w:type="dxa"/>
            <w:vAlign w:val="center"/>
          </w:tcPr>
          <w:p w14:paraId="2F6DBE55">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5000</w:t>
            </w:r>
          </w:p>
        </w:tc>
        <w:tc>
          <w:tcPr>
            <w:tcW w:w="7230" w:type="dxa"/>
            <w:vAlign w:val="center"/>
          </w:tcPr>
          <w:p w14:paraId="478A6F3D">
            <w:pPr>
              <w:widowControl/>
              <w:spacing w:line="260" w:lineRule="exact"/>
              <w:jc w:val="left"/>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临床医学检验学等专业</w:t>
            </w:r>
          </w:p>
        </w:tc>
      </w:tr>
      <w:tr w14:paraId="7101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70C601CA">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710" w:type="dxa"/>
            <w:vMerge w:val="continue"/>
            <w:vAlign w:val="center"/>
          </w:tcPr>
          <w:p w14:paraId="162A07A3">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2405" w:type="dxa"/>
            <w:vMerge w:val="continue"/>
            <w:vAlign w:val="center"/>
          </w:tcPr>
          <w:p w14:paraId="61EA3C79">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794" w:type="dxa"/>
            <w:vAlign w:val="center"/>
          </w:tcPr>
          <w:p w14:paraId="00891066">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份</w:t>
            </w:r>
          </w:p>
        </w:tc>
        <w:tc>
          <w:tcPr>
            <w:tcW w:w="1609" w:type="dxa"/>
            <w:vAlign w:val="center"/>
          </w:tcPr>
          <w:p w14:paraId="2AEE40F8">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5000</w:t>
            </w:r>
          </w:p>
        </w:tc>
        <w:tc>
          <w:tcPr>
            <w:tcW w:w="1559" w:type="dxa"/>
            <w:vAlign w:val="center"/>
          </w:tcPr>
          <w:p w14:paraId="21627582">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5000</w:t>
            </w:r>
          </w:p>
        </w:tc>
        <w:tc>
          <w:tcPr>
            <w:tcW w:w="7230" w:type="dxa"/>
            <w:vAlign w:val="center"/>
          </w:tcPr>
          <w:p w14:paraId="18703FCB">
            <w:pPr>
              <w:widowControl/>
              <w:spacing w:line="260" w:lineRule="exact"/>
              <w:jc w:val="left"/>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放射医学、超声波医学、心电学诊断等专业</w:t>
            </w:r>
          </w:p>
        </w:tc>
      </w:tr>
      <w:tr w14:paraId="6097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607DB804">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710" w:type="dxa"/>
            <w:vMerge w:val="continue"/>
            <w:vAlign w:val="center"/>
          </w:tcPr>
          <w:p w14:paraId="6830F5D0">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2405" w:type="dxa"/>
            <w:vMerge w:val="continue"/>
            <w:vAlign w:val="center"/>
          </w:tcPr>
          <w:p w14:paraId="040B6032">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794" w:type="dxa"/>
            <w:vAlign w:val="center"/>
          </w:tcPr>
          <w:p w14:paraId="15ACE23C">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份</w:t>
            </w:r>
          </w:p>
        </w:tc>
        <w:tc>
          <w:tcPr>
            <w:tcW w:w="1609" w:type="dxa"/>
            <w:vAlign w:val="center"/>
          </w:tcPr>
          <w:p w14:paraId="655D7717">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4000</w:t>
            </w:r>
          </w:p>
        </w:tc>
        <w:tc>
          <w:tcPr>
            <w:tcW w:w="1559" w:type="dxa"/>
            <w:vAlign w:val="center"/>
          </w:tcPr>
          <w:p w14:paraId="5D8BC40F">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4000</w:t>
            </w:r>
          </w:p>
        </w:tc>
        <w:tc>
          <w:tcPr>
            <w:tcW w:w="7230" w:type="dxa"/>
            <w:vAlign w:val="center"/>
          </w:tcPr>
          <w:p w14:paraId="1D013A7E">
            <w:pPr>
              <w:widowControl/>
              <w:spacing w:line="260" w:lineRule="exact"/>
              <w:jc w:val="left"/>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病理学等专业</w:t>
            </w:r>
          </w:p>
        </w:tc>
      </w:tr>
      <w:tr w14:paraId="51F32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5B39C45E">
            <w:pPr>
              <w:spacing w:line="260" w:lineRule="exact"/>
              <w:jc w:val="center"/>
              <w:rPr>
                <w:rFonts w:ascii="宋体" w:hAnsi="宋体" w:cs="LinTimes"/>
                <w:color w:val="000000" w:themeColor="text1"/>
                <w:szCs w:val="21"/>
                <w14:textFill>
                  <w14:solidFill>
                    <w14:schemeClr w14:val="tx1"/>
                  </w14:solidFill>
                </w14:textFill>
              </w:rPr>
            </w:pPr>
          </w:p>
        </w:tc>
        <w:tc>
          <w:tcPr>
            <w:tcW w:w="710" w:type="dxa"/>
            <w:vMerge w:val="continue"/>
            <w:vAlign w:val="center"/>
          </w:tcPr>
          <w:p w14:paraId="440D597E">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2405" w:type="dxa"/>
            <w:vMerge w:val="continue"/>
            <w:vAlign w:val="center"/>
          </w:tcPr>
          <w:p w14:paraId="0696584D">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794" w:type="dxa"/>
            <w:vAlign w:val="center"/>
          </w:tcPr>
          <w:p w14:paraId="52CF1739">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份</w:t>
            </w:r>
          </w:p>
        </w:tc>
        <w:tc>
          <w:tcPr>
            <w:tcW w:w="1609" w:type="dxa"/>
            <w:vAlign w:val="center"/>
          </w:tcPr>
          <w:p w14:paraId="0EA5E00F">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2500</w:t>
            </w:r>
          </w:p>
        </w:tc>
        <w:tc>
          <w:tcPr>
            <w:tcW w:w="1559" w:type="dxa"/>
            <w:vAlign w:val="center"/>
          </w:tcPr>
          <w:p w14:paraId="0541800A">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3000</w:t>
            </w:r>
          </w:p>
        </w:tc>
        <w:tc>
          <w:tcPr>
            <w:tcW w:w="7230" w:type="dxa"/>
            <w:vAlign w:val="center"/>
          </w:tcPr>
          <w:p w14:paraId="485E7856">
            <w:pPr>
              <w:widowControl/>
              <w:spacing w:line="260" w:lineRule="exact"/>
              <w:jc w:val="left"/>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核医学、临床输血、神经电生理（脑电图）诊断等专业</w:t>
            </w:r>
          </w:p>
        </w:tc>
      </w:tr>
      <w:tr w14:paraId="65A9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restart"/>
            <w:vAlign w:val="center"/>
          </w:tcPr>
          <w:p w14:paraId="3128CA53">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中医</w:t>
            </w:r>
          </w:p>
        </w:tc>
        <w:tc>
          <w:tcPr>
            <w:tcW w:w="710" w:type="dxa"/>
            <w:vMerge w:val="restart"/>
            <w:vAlign w:val="center"/>
          </w:tcPr>
          <w:p w14:paraId="3D79E287">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非手术为主专业</w:t>
            </w:r>
          </w:p>
        </w:tc>
        <w:tc>
          <w:tcPr>
            <w:tcW w:w="2405" w:type="dxa"/>
            <w:vAlign w:val="center"/>
          </w:tcPr>
          <w:p w14:paraId="63D57B19">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门诊工作量（有病房）</w:t>
            </w:r>
          </w:p>
        </w:tc>
        <w:tc>
          <w:tcPr>
            <w:tcW w:w="794" w:type="dxa"/>
            <w:vAlign w:val="center"/>
          </w:tcPr>
          <w:p w14:paraId="78796AA9">
            <w:pPr>
              <w:spacing w:line="260" w:lineRule="exact"/>
              <w:jc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szCs w:val="21"/>
                <w14:textFill>
                  <w14:solidFill>
                    <w14:schemeClr w14:val="tx1"/>
                  </w14:solidFill>
                </w14:textFill>
              </w:rPr>
              <w:t>单元</w:t>
            </w:r>
          </w:p>
        </w:tc>
        <w:tc>
          <w:tcPr>
            <w:tcW w:w="1609" w:type="dxa"/>
            <w:vAlign w:val="center"/>
          </w:tcPr>
          <w:p w14:paraId="369ABE48">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400</w:t>
            </w:r>
          </w:p>
        </w:tc>
        <w:tc>
          <w:tcPr>
            <w:tcW w:w="1559" w:type="dxa"/>
            <w:vAlign w:val="center"/>
          </w:tcPr>
          <w:p w14:paraId="18A82A9C">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600</w:t>
            </w:r>
          </w:p>
        </w:tc>
        <w:tc>
          <w:tcPr>
            <w:tcW w:w="7230" w:type="dxa"/>
            <w:vMerge w:val="restart"/>
            <w:vAlign w:val="center"/>
          </w:tcPr>
          <w:p w14:paraId="17757051">
            <w:pPr>
              <w:widowControl/>
              <w:spacing w:line="260" w:lineRule="exact"/>
              <w:jc w:val="left"/>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由各医院自行</w:t>
            </w:r>
            <w:bookmarkStart w:id="0" w:name="_GoBack"/>
            <w:bookmarkEnd w:id="0"/>
            <w:r>
              <w:rPr>
                <w:rFonts w:hint="eastAsia" w:ascii="宋体" w:hAnsi="宋体" w:cs="LinTimes"/>
                <w:color w:val="000000" w:themeColor="text1"/>
                <w:kern w:val="0"/>
                <w:szCs w:val="21"/>
                <w14:textFill>
                  <w14:solidFill>
                    <w14:schemeClr w14:val="tx1"/>
                  </w14:solidFill>
                </w14:textFill>
              </w:rPr>
              <w:t>确定手术专业和非手术专业。</w:t>
            </w:r>
          </w:p>
        </w:tc>
      </w:tr>
      <w:tr w14:paraId="0C3C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6F55979A">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710" w:type="dxa"/>
            <w:vMerge w:val="continue"/>
            <w:vAlign w:val="center"/>
          </w:tcPr>
          <w:p w14:paraId="11B2FBCB">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2405" w:type="dxa"/>
            <w:vAlign w:val="center"/>
          </w:tcPr>
          <w:p w14:paraId="3BF4F2F4">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出院人数</w:t>
            </w:r>
          </w:p>
          <w:p w14:paraId="4B5C3910">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（参与或作为治疗组长）</w:t>
            </w:r>
          </w:p>
        </w:tc>
        <w:tc>
          <w:tcPr>
            <w:tcW w:w="794" w:type="dxa"/>
            <w:vAlign w:val="center"/>
          </w:tcPr>
          <w:p w14:paraId="52326579">
            <w:pPr>
              <w:spacing w:line="260" w:lineRule="exact"/>
              <w:jc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szCs w:val="21"/>
                <w14:textFill>
                  <w14:solidFill>
                    <w14:schemeClr w14:val="tx1"/>
                  </w14:solidFill>
                </w14:textFill>
              </w:rPr>
              <w:t>人次</w:t>
            </w:r>
          </w:p>
        </w:tc>
        <w:tc>
          <w:tcPr>
            <w:tcW w:w="1609" w:type="dxa"/>
            <w:vAlign w:val="center"/>
          </w:tcPr>
          <w:p w14:paraId="1FD06AB0">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600</w:t>
            </w:r>
          </w:p>
        </w:tc>
        <w:tc>
          <w:tcPr>
            <w:tcW w:w="1559" w:type="dxa"/>
            <w:vAlign w:val="center"/>
          </w:tcPr>
          <w:p w14:paraId="7155E381">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900</w:t>
            </w:r>
          </w:p>
        </w:tc>
        <w:tc>
          <w:tcPr>
            <w:tcW w:w="7230" w:type="dxa"/>
            <w:vMerge w:val="continue"/>
            <w:vAlign w:val="center"/>
          </w:tcPr>
          <w:p w14:paraId="39651E60">
            <w:pPr>
              <w:spacing w:line="260" w:lineRule="exact"/>
              <w:rPr>
                <w:rFonts w:ascii="宋体" w:hAnsi="宋体" w:cs="LinTimes"/>
                <w:color w:val="000000" w:themeColor="text1"/>
                <w:szCs w:val="21"/>
                <w14:textFill>
                  <w14:solidFill>
                    <w14:schemeClr w14:val="tx1"/>
                  </w14:solidFill>
                </w14:textFill>
              </w:rPr>
            </w:pPr>
          </w:p>
        </w:tc>
      </w:tr>
      <w:tr w14:paraId="0394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6D660F3D">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710" w:type="dxa"/>
            <w:vMerge w:val="continue"/>
            <w:vAlign w:val="center"/>
          </w:tcPr>
          <w:p w14:paraId="60F8A850">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2405" w:type="dxa"/>
            <w:vAlign w:val="center"/>
          </w:tcPr>
          <w:p w14:paraId="550CAD0A">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门诊工作量（无病房）</w:t>
            </w:r>
          </w:p>
        </w:tc>
        <w:tc>
          <w:tcPr>
            <w:tcW w:w="794" w:type="dxa"/>
            <w:vAlign w:val="center"/>
          </w:tcPr>
          <w:p w14:paraId="3BDB7C63">
            <w:pPr>
              <w:spacing w:line="260" w:lineRule="exact"/>
              <w:jc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szCs w:val="21"/>
                <w14:textFill>
                  <w14:solidFill>
                    <w14:schemeClr w14:val="tx1"/>
                  </w14:solidFill>
                </w14:textFill>
              </w:rPr>
              <w:t>单元</w:t>
            </w:r>
          </w:p>
        </w:tc>
        <w:tc>
          <w:tcPr>
            <w:tcW w:w="1609" w:type="dxa"/>
            <w:vAlign w:val="center"/>
          </w:tcPr>
          <w:p w14:paraId="499F75D1">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500</w:t>
            </w:r>
          </w:p>
        </w:tc>
        <w:tc>
          <w:tcPr>
            <w:tcW w:w="1559" w:type="dxa"/>
            <w:vAlign w:val="center"/>
          </w:tcPr>
          <w:p w14:paraId="7049CEE0">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800</w:t>
            </w:r>
          </w:p>
        </w:tc>
        <w:tc>
          <w:tcPr>
            <w:tcW w:w="7230" w:type="dxa"/>
            <w:vMerge w:val="continue"/>
            <w:vAlign w:val="center"/>
          </w:tcPr>
          <w:p w14:paraId="100F5015">
            <w:pPr>
              <w:spacing w:line="260" w:lineRule="exact"/>
              <w:rPr>
                <w:rFonts w:ascii="宋体" w:hAnsi="宋体" w:cs="LinTimes"/>
                <w:color w:val="000000" w:themeColor="text1"/>
                <w:szCs w:val="21"/>
                <w14:textFill>
                  <w14:solidFill>
                    <w14:schemeClr w14:val="tx1"/>
                  </w14:solidFill>
                </w14:textFill>
              </w:rPr>
            </w:pPr>
          </w:p>
        </w:tc>
      </w:tr>
      <w:tr w14:paraId="269C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1E1637D4">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710" w:type="dxa"/>
            <w:vMerge w:val="restart"/>
            <w:vAlign w:val="center"/>
          </w:tcPr>
          <w:p w14:paraId="75D6B8F3">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手术为主专业</w:t>
            </w:r>
          </w:p>
        </w:tc>
        <w:tc>
          <w:tcPr>
            <w:tcW w:w="2405" w:type="dxa"/>
            <w:vAlign w:val="center"/>
          </w:tcPr>
          <w:p w14:paraId="263E1D66">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门诊工作量（有病房）</w:t>
            </w:r>
          </w:p>
        </w:tc>
        <w:tc>
          <w:tcPr>
            <w:tcW w:w="794" w:type="dxa"/>
            <w:vAlign w:val="center"/>
          </w:tcPr>
          <w:p w14:paraId="34EB3F7A">
            <w:pPr>
              <w:spacing w:line="260" w:lineRule="exact"/>
              <w:jc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szCs w:val="21"/>
                <w14:textFill>
                  <w14:solidFill>
                    <w14:schemeClr w14:val="tx1"/>
                  </w14:solidFill>
                </w14:textFill>
              </w:rPr>
              <w:t>单元</w:t>
            </w:r>
          </w:p>
        </w:tc>
        <w:tc>
          <w:tcPr>
            <w:tcW w:w="1609" w:type="dxa"/>
            <w:vAlign w:val="center"/>
          </w:tcPr>
          <w:p w14:paraId="1C355C82">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300</w:t>
            </w:r>
          </w:p>
        </w:tc>
        <w:tc>
          <w:tcPr>
            <w:tcW w:w="1559" w:type="dxa"/>
            <w:vAlign w:val="center"/>
          </w:tcPr>
          <w:p w14:paraId="0F88D267">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400</w:t>
            </w:r>
          </w:p>
        </w:tc>
        <w:tc>
          <w:tcPr>
            <w:tcW w:w="7230" w:type="dxa"/>
            <w:vMerge w:val="continue"/>
            <w:vAlign w:val="center"/>
          </w:tcPr>
          <w:p w14:paraId="0DC52465">
            <w:pPr>
              <w:spacing w:line="260" w:lineRule="exact"/>
              <w:rPr>
                <w:rFonts w:ascii="宋体" w:hAnsi="宋体" w:cs="LinTimes"/>
                <w:color w:val="000000" w:themeColor="text1"/>
                <w:szCs w:val="21"/>
                <w14:textFill>
                  <w14:solidFill>
                    <w14:schemeClr w14:val="tx1"/>
                  </w14:solidFill>
                </w14:textFill>
              </w:rPr>
            </w:pPr>
          </w:p>
        </w:tc>
      </w:tr>
      <w:tr w14:paraId="1E89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31C5B7C2">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710" w:type="dxa"/>
            <w:vMerge w:val="continue"/>
            <w:vAlign w:val="center"/>
          </w:tcPr>
          <w:p w14:paraId="6D5DC050">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2405" w:type="dxa"/>
            <w:vAlign w:val="center"/>
          </w:tcPr>
          <w:p w14:paraId="6850DC51">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出院人数</w:t>
            </w:r>
          </w:p>
          <w:p w14:paraId="73B9BBEA">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（参与或作为治疗组长）</w:t>
            </w:r>
          </w:p>
        </w:tc>
        <w:tc>
          <w:tcPr>
            <w:tcW w:w="794" w:type="dxa"/>
            <w:vAlign w:val="center"/>
          </w:tcPr>
          <w:p w14:paraId="1DB681FC">
            <w:pPr>
              <w:spacing w:line="260" w:lineRule="exact"/>
              <w:jc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szCs w:val="21"/>
                <w14:textFill>
                  <w14:solidFill>
                    <w14:schemeClr w14:val="tx1"/>
                  </w14:solidFill>
                </w14:textFill>
              </w:rPr>
              <w:t>人次</w:t>
            </w:r>
          </w:p>
        </w:tc>
        <w:tc>
          <w:tcPr>
            <w:tcW w:w="1609" w:type="dxa"/>
            <w:vAlign w:val="center"/>
          </w:tcPr>
          <w:p w14:paraId="505EE4CE">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400</w:t>
            </w:r>
          </w:p>
        </w:tc>
        <w:tc>
          <w:tcPr>
            <w:tcW w:w="1559" w:type="dxa"/>
            <w:vAlign w:val="center"/>
          </w:tcPr>
          <w:p w14:paraId="4FB58E68">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500</w:t>
            </w:r>
          </w:p>
        </w:tc>
        <w:tc>
          <w:tcPr>
            <w:tcW w:w="7230" w:type="dxa"/>
            <w:vMerge w:val="continue"/>
            <w:vAlign w:val="center"/>
          </w:tcPr>
          <w:p w14:paraId="3B25E5AD">
            <w:pPr>
              <w:spacing w:line="260" w:lineRule="exact"/>
              <w:rPr>
                <w:rFonts w:ascii="宋体" w:hAnsi="宋体" w:cs="LinTimes"/>
                <w:color w:val="000000" w:themeColor="text1"/>
                <w:szCs w:val="21"/>
                <w14:textFill>
                  <w14:solidFill>
                    <w14:schemeClr w14:val="tx1"/>
                  </w14:solidFill>
                </w14:textFill>
              </w:rPr>
            </w:pPr>
          </w:p>
        </w:tc>
      </w:tr>
      <w:tr w14:paraId="04E3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4CC0F2E1">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710" w:type="dxa"/>
            <w:vMerge w:val="continue"/>
            <w:vAlign w:val="center"/>
          </w:tcPr>
          <w:p w14:paraId="0C902F50">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2405" w:type="dxa"/>
            <w:vAlign w:val="center"/>
          </w:tcPr>
          <w:p w14:paraId="3DE217F9">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出院患者手术</w:t>
            </w:r>
          </w:p>
          <w:p w14:paraId="1C05FDD5">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/操作人次</w:t>
            </w:r>
          </w:p>
        </w:tc>
        <w:tc>
          <w:tcPr>
            <w:tcW w:w="794" w:type="dxa"/>
            <w:vAlign w:val="center"/>
          </w:tcPr>
          <w:p w14:paraId="313368A8">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人次</w:t>
            </w:r>
          </w:p>
        </w:tc>
        <w:tc>
          <w:tcPr>
            <w:tcW w:w="1609" w:type="dxa"/>
            <w:vAlign w:val="center"/>
          </w:tcPr>
          <w:p w14:paraId="22E06118">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300</w:t>
            </w:r>
          </w:p>
        </w:tc>
        <w:tc>
          <w:tcPr>
            <w:tcW w:w="1559" w:type="dxa"/>
            <w:vAlign w:val="center"/>
          </w:tcPr>
          <w:p w14:paraId="7B9EF536">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400</w:t>
            </w:r>
          </w:p>
        </w:tc>
        <w:tc>
          <w:tcPr>
            <w:tcW w:w="7230" w:type="dxa"/>
            <w:vMerge w:val="continue"/>
            <w:vAlign w:val="center"/>
          </w:tcPr>
          <w:p w14:paraId="029AB55B">
            <w:pPr>
              <w:spacing w:line="260" w:lineRule="exact"/>
              <w:rPr>
                <w:rFonts w:ascii="宋体" w:hAnsi="宋体" w:cs="LinTimes"/>
                <w:color w:val="000000" w:themeColor="text1"/>
                <w:szCs w:val="21"/>
                <w14:textFill>
                  <w14:solidFill>
                    <w14:schemeClr w14:val="tx1"/>
                  </w14:solidFill>
                </w14:textFill>
              </w:rPr>
            </w:pPr>
          </w:p>
        </w:tc>
      </w:tr>
      <w:tr w14:paraId="3E06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2EA98F21">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710" w:type="dxa"/>
            <w:vMerge w:val="continue"/>
            <w:vAlign w:val="center"/>
          </w:tcPr>
          <w:p w14:paraId="08167617">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2405" w:type="dxa"/>
            <w:vAlign w:val="center"/>
          </w:tcPr>
          <w:p w14:paraId="3D742ABC">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门诊工作量（无病房）</w:t>
            </w:r>
          </w:p>
        </w:tc>
        <w:tc>
          <w:tcPr>
            <w:tcW w:w="794" w:type="dxa"/>
            <w:vAlign w:val="center"/>
          </w:tcPr>
          <w:p w14:paraId="40E5CEE1">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单元</w:t>
            </w:r>
          </w:p>
        </w:tc>
        <w:tc>
          <w:tcPr>
            <w:tcW w:w="1609" w:type="dxa"/>
            <w:vAlign w:val="center"/>
          </w:tcPr>
          <w:p w14:paraId="59AAE864">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500</w:t>
            </w:r>
          </w:p>
        </w:tc>
        <w:tc>
          <w:tcPr>
            <w:tcW w:w="1559" w:type="dxa"/>
            <w:vAlign w:val="center"/>
          </w:tcPr>
          <w:p w14:paraId="6DEB7F41">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800</w:t>
            </w:r>
          </w:p>
        </w:tc>
        <w:tc>
          <w:tcPr>
            <w:tcW w:w="7230" w:type="dxa"/>
            <w:vMerge w:val="continue"/>
            <w:vAlign w:val="center"/>
          </w:tcPr>
          <w:p w14:paraId="0C08498C">
            <w:pPr>
              <w:spacing w:line="260" w:lineRule="exact"/>
              <w:rPr>
                <w:rFonts w:ascii="宋体" w:hAnsi="宋体" w:cs="LinTimes"/>
                <w:color w:val="000000" w:themeColor="text1"/>
                <w:szCs w:val="21"/>
                <w14:textFill>
                  <w14:solidFill>
                    <w14:schemeClr w14:val="tx1"/>
                  </w14:solidFill>
                </w14:textFill>
              </w:rPr>
            </w:pPr>
          </w:p>
        </w:tc>
      </w:tr>
      <w:tr w14:paraId="64A2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restart"/>
            <w:vAlign w:val="center"/>
          </w:tcPr>
          <w:p w14:paraId="7B34BD14">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口腔</w:t>
            </w:r>
          </w:p>
        </w:tc>
        <w:tc>
          <w:tcPr>
            <w:tcW w:w="710" w:type="dxa"/>
            <w:vMerge w:val="restart"/>
            <w:vAlign w:val="center"/>
          </w:tcPr>
          <w:p w14:paraId="45FCFE49">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无病房科室</w:t>
            </w:r>
          </w:p>
        </w:tc>
        <w:tc>
          <w:tcPr>
            <w:tcW w:w="2405" w:type="dxa"/>
            <w:vAlign w:val="center"/>
          </w:tcPr>
          <w:p w14:paraId="0269F964">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门诊工作量</w:t>
            </w:r>
          </w:p>
        </w:tc>
        <w:tc>
          <w:tcPr>
            <w:tcW w:w="794" w:type="dxa"/>
            <w:vAlign w:val="center"/>
          </w:tcPr>
          <w:p w14:paraId="5D60CE89">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单元</w:t>
            </w:r>
          </w:p>
        </w:tc>
        <w:tc>
          <w:tcPr>
            <w:tcW w:w="1609" w:type="dxa"/>
            <w:vAlign w:val="center"/>
          </w:tcPr>
          <w:p w14:paraId="0D3B6359">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800</w:t>
            </w:r>
          </w:p>
        </w:tc>
        <w:tc>
          <w:tcPr>
            <w:tcW w:w="1559" w:type="dxa"/>
            <w:vAlign w:val="center"/>
          </w:tcPr>
          <w:p w14:paraId="2FAC9D4B">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800</w:t>
            </w:r>
          </w:p>
        </w:tc>
        <w:tc>
          <w:tcPr>
            <w:tcW w:w="7230" w:type="dxa"/>
            <w:vMerge w:val="restart"/>
            <w:vAlign w:val="center"/>
          </w:tcPr>
          <w:p w14:paraId="09374959">
            <w:pPr>
              <w:spacing w:line="260" w:lineRule="exact"/>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szCs w:val="21"/>
                <w14:textFill>
                  <w14:solidFill>
                    <w14:schemeClr w14:val="tx1"/>
                  </w14:solidFill>
                </w14:textFill>
              </w:rPr>
              <w:t>由各医院自行确定有病房和无病房。</w:t>
            </w:r>
          </w:p>
        </w:tc>
      </w:tr>
      <w:tr w14:paraId="43F5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067810FE">
            <w:pPr>
              <w:spacing w:line="260" w:lineRule="exact"/>
              <w:jc w:val="center"/>
              <w:rPr>
                <w:rFonts w:ascii="宋体" w:hAnsi="宋体" w:cs="LinTimes"/>
                <w:color w:val="000000" w:themeColor="text1"/>
                <w:szCs w:val="21"/>
                <w14:textFill>
                  <w14:solidFill>
                    <w14:schemeClr w14:val="tx1"/>
                  </w14:solidFill>
                </w14:textFill>
              </w:rPr>
            </w:pPr>
          </w:p>
        </w:tc>
        <w:tc>
          <w:tcPr>
            <w:tcW w:w="710" w:type="dxa"/>
            <w:vMerge w:val="continue"/>
            <w:vAlign w:val="center"/>
          </w:tcPr>
          <w:p w14:paraId="7F2F04C5">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2405" w:type="dxa"/>
            <w:vAlign w:val="center"/>
          </w:tcPr>
          <w:p w14:paraId="28F362AF">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诊疗人次</w:t>
            </w:r>
          </w:p>
        </w:tc>
        <w:tc>
          <w:tcPr>
            <w:tcW w:w="794" w:type="dxa"/>
            <w:vAlign w:val="center"/>
          </w:tcPr>
          <w:p w14:paraId="56D5A73C">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人次</w:t>
            </w:r>
          </w:p>
        </w:tc>
        <w:tc>
          <w:tcPr>
            <w:tcW w:w="1609" w:type="dxa"/>
            <w:vAlign w:val="center"/>
          </w:tcPr>
          <w:p w14:paraId="59B5E0BB">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3000</w:t>
            </w:r>
          </w:p>
        </w:tc>
        <w:tc>
          <w:tcPr>
            <w:tcW w:w="1559" w:type="dxa"/>
            <w:vAlign w:val="center"/>
          </w:tcPr>
          <w:p w14:paraId="43083863">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4000</w:t>
            </w:r>
          </w:p>
        </w:tc>
        <w:tc>
          <w:tcPr>
            <w:tcW w:w="7230" w:type="dxa"/>
            <w:vMerge w:val="continue"/>
            <w:vAlign w:val="center"/>
          </w:tcPr>
          <w:p w14:paraId="58597E65">
            <w:pPr>
              <w:spacing w:line="260" w:lineRule="exact"/>
              <w:jc w:val="center"/>
              <w:rPr>
                <w:rFonts w:ascii="宋体" w:hAnsi="宋体" w:cs="LinTimes"/>
                <w:color w:val="000000" w:themeColor="text1"/>
                <w:szCs w:val="21"/>
                <w14:textFill>
                  <w14:solidFill>
                    <w14:schemeClr w14:val="tx1"/>
                  </w14:solidFill>
                </w14:textFill>
              </w:rPr>
            </w:pPr>
          </w:p>
        </w:tc>
      </w:tr>
      <w:tr w14:paraId="18284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66" w:type="dxa"/>
            <w:vMerge w:val="continue"/>
            <w:vAlign w:val="center"/>
          </w:tcPr>
          <w:p w14:paraId="08A15583">
            <w:pPr>
              <w:spacing w:line="260" w:lineRule="exact"/>
              <w:jc w:val="center"/>
              <w:rPr>
                <w:rFonts w:ascii="宋体" w:hAnsi="宋体" w:cs="LinTimes"/>
                <w:color w:val="000000" w:themeColor="text1"/>
                <w:szCs w:val="21"/>
                <w14:textFill>
                  <w14:solidFill>
                    <w14:schemeClr w14:val="tx1"/>
                  </w14:solidFill>
                </w14:textFill>
              </w:rPr>
            </w:pPr>
          </w:p>
        </w:tc>
        <w:tc>
          <w:tcPr>
            <w:tcW w:w="710" w:type="dxa"/>
            <w:vMerge w:val="restart"/>
            <w:vAlign w:val="center"/>
          </w:tcPr>
          <w:p w14:paraId="2272430E">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有病房科室</w:t>
            </w:r>
          </w:p>
        </w:tc>
        <w:tc>
          <w:tcPr>
            <w:tcW w:w="2405" w:type="dxa"/>
            <w:vAlign w:val="center"/>
          </w:tcPr>
          <w:p w14:paraId="027A2DE0">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门诊工作量</w:t>
            </w:r>
          </w:p>
        </w:tc>
        <w:tc>
          <w:tcPr>
            <w:tcW w:w="794" w:type="dxa"/>
            <w:vAlign w:val="center"/>
          </w:tcPr>
          <w:p w14:paraId="7C8AAC69">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单元</w:t>
            </w:r>
          </w:p>
        </w:tc>
        <w:tc>
          <w:tcPr>
            <w:tcW w:w="1609" w:type="dxa"/>
            <w:vAlign w:val="center"/>
          </w:tcPr>
          <w:p w14:paraId="07618E19">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400</w:t>
            </w:r>
          </w:p>
        </w:tc>
        <w:tc>
          <w:tcPr>
            <w:tcW w:w="1559" w:type="dxa"/>
            <w:vAlign w:val="center"/>
          </w:tcPr>
          <w:p w14:paraId="7884F32C">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500</w:t>
            </w:r>
          </w:p>
        </w:tc>
        <w:tc>
          <w:tcPr>
            <w:tcW w:w="7230" w:type="dxa"/>
            <w:vMerge w:val="continue"/>
            <w:vAlign w:val="center"/>
          </w:tcPr>
          <w:p w14:paraId="76A92489">
            <w:pPr>
              <w:spacing w:line="260" w:lineRule="exact"/>
              <w:jc w:val="center"/>
              <w:rPr>
                <w:rFonts w:ascii="宋体" w:hAnsi="宋体" w:cs="LinTimes"/>
                <w:color w:val="000000" w:themeColor="text1"/>
                <w:szCs w:val="21"/>
                <w14:textFill>
                  <w14:solidFill>
                    <w14:schemeClr w14:val="tx1"/>
                  </w14:solidFill>
                </w14:textFill>
              </w:rPr>
            </w:pPr>
          </w:p>
        </w:tc>
      </w:tr>
      <w:tr w14:paraId="16BC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0" w:hRule="atLeast"/>
          <w:jc w:val="center"/>
        </w:trPr>
        <w:tc>
          <w:tcPr>
            <w:tcW w:w="566" w:type="dxa"/>
            <w:vMerge w:val="continue"/>
            <w:vAlign w:val="center"/>
          </w:tcPr>
          <w:p w14:paraId="44B2DCF1">
            <w:pPr>
              <w:spacing w:line="260" w:lineRule="exact"/>
              <w:jc w:val="center"/>
              <w:rPr>
                <w:rFonts w:ascii="宋体" w:hAnsi="宋体" w:cs="LinTimes"/>
                <w:color w:val="000000" w:themeColor="text1"/>
                <w:szCs w:val="21"/>
                <w14:textFill>
                  <w14:solidFill>
                    <w14:schemeClr w14:val="tx1"/>
                  </w14:solidFill>
                </w14:textFill>
              </w:rPr>
            </w:pPr>
          </w:p>
        </w:tc>
        <w:tc>
          <w:tcPr>
            <w:tcW w:w="710" w:type="dxa"/>
            <w:vMerge w:val="continue"/>
            <w:vAlign w:val="center"/>
          </w:tcPr>
          <w:p w14:paraId="236A68A9">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2405" w:type="dxa"/>
            <w:vAlign w:val="center"/>
          </w:tcPr>
          <w:p w14:paraId="0CBC2FE8">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出院人数</w:t>
            </w:r>
          </w:p>
          <w:p w14:paraId="299AE14E">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（参与或作为治疗组组长）</w:t>
            </w:r>
          </w:p>
        </w:tc>
        <w:tc>
          <w:tcPr>
            <w:tcW w:w="794" w:type="dxa"/>
            <w:vAlign w:val="center"/>
          </w:tcPr>
          <w:p w14:paraId="2D2734BE">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人次</w:t>
            </w:r>
          </w:p>
        </w:tc>
        <w:tc>
          <w:tcPr>
            <w:tcW w:w="1609" w:type="dxa"/>
            <w:vAlign w:val="center"/>
          </w:tcPr>
          <w:p w14:paraId="74621DBE">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350</w:t>
            </w:r>
          </w:p>
        </w:tc>
        <w:tc>
          <w:tcPr>
            <w:tcW w:w="1559" w:type="dxa"/>
            <w:vAlign w:val="center"/>
          </w:tcPr>
          <w:p w14:paraId="66AA71E6">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500</w:t>
            </w:r>
          </w:p>
        </w:tc>
        <w:tc>
          <w:tcPr>
            <w:tcW w:w="7230" w:type="dxa"/>
            <w:vMerge w:val="continue"/>
            <w:vAlign w:val="center"/>
          </w:tcPr>
          <w:p w14:paraId="1311522B">
            <w:pPr>
              <w:spacing w:line="260" w:lineRule="exact"/>
              <w:jc w:val="center"/>
              <w:rPr>
                <w:rFonts w:ascii="宋体" w:hAnsi="宋体" w:cs="LinTimes"/>
                <w:color w:val="000000" w:themeColor="text1"/>
                <w:szCs w:val="21"/>
                <w14:textFill>
                  <w14:solidFill>
                    <w14:schemeClr w14:val="tx1"/>
                  </w14:solidFill>
                </w14:textFill>
              </w:rPr>
            </w:pPr>
          </w:p>
        </w:tc>
      </w:tr>
      <w:tr w14:paraId="4C3B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0" w:hRule="atLeast"/>
          <w:jc w:val="center"/>
        </w:trPr>
        <w:tc>
          <w:tcPr>
            <w:tcW w:w="566" w:type="dxa"/>
            <w:vMerge w:val="continue"/>
            <w:vAlign w:val="center"/>
          </w:tcPr>
          <w:p w14:paraId="49802B06">
            <w:pPr>
              <w:spacing w:line="260" w:lineRule="exact"/>
              <w:jc w:val="center"/>
              <w:rPr>
                <w:rFonts w:ascii="宋体" w:hAnsi="宋体" w:cs="LinTimes"/>
                <w:color w:val="000000" w:themeColor="text1"/>
                <w:szCs w:val="21"/>
                <w14:textFill>
                  <w14:solidFill>
                    <w14:schemeClr w14:val="tx1"/>
                  </w14:solidFill>
                </w14:textFill>
              </w:rPr>
            </w:pPr>
          </w:p>
        </w:tc>
        <w:tc>
          <w:tcPr>
            <w:tcW w:w="710" w:type="dxa"/>
            <w:vMerge w:val="continue"/>
            <w:vAlign w:val="center"/>
          </w:tcPr>
          <w:p w14:paraId="71BA01AB">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p>
        </w:tc>
        <w:tc>
          <w:tcPr>
            <w:tcW w:w="2405" w:type="dxa"/>
            <w:vAlign w:val="center"/>
          </w:tcPr>
          <w:p w14:paraId="040E9A58">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出院患者手术</w:t>
            </w:r>
          </w:p>
          <w:p w14:paraId="515EE681">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/操作人次数</w:t>
            </w:r>
          </w:p>
        </w:tc>
        <w:tc>
          <w:tcPr>
            <w:tcW w:w="794" w:type="dxa"/>
            <w:vAlign w:val="center"/>
          </w:tcPr>
          <w:p w14:paraId="0D1B1769">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人次</w:t>
            </w:r>
          </w:p>
        </w:tc>
        <w:tc>
          <w:tcPr>
            <w:tcW w:w="1609" w:type="dxa"/>
            <w:vAlign w:val="center"/>
          </w:tcPr>
          <w:p w14:paraId="09E55D5B">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300</w:t>
            </w:r>
          </w:p>
        </w:tc>
        <w:tc>
          <w:tcPr>
            <w:tcW w:w="1559" w:type="dxa"/>
            <w:vAlign w:val="center"/>
          </w:tcPr>
          <w:p w14:paraId="7CAD46E9">
            <w:pPr>
              <w:widowControl/>
              <w:spacing w:line="260" w:lineRule="exact"/>
              <w:jc w:val="center"/>
              <w:textAlignment w:val="center"/>
              <w:rPr>
                <w:rFonts w:ascii="宋体" w:hAnsi="宋体" w:cs="LinTimes"/>
                <w:color w:val="000000" w:themeColor="text1"/>
                <w:kern w:val="0"/>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400</w:t>
            </w:r>
          </w:p>
        </w:tc>
        <w:tc>
          <w:tcPr>
            <w:tcW w:w="7230" w:type="dxa"/>
            <w:vMerge w:val="continue"/>
            <w:vAlign w:val="center"/>
          </w:tcPr>
          <w:p w14:paraId="7191FCD4">
            <w:pPr>
              <w:spacing w:line="260" w:lineRule="exact"/>
              <w:jc w:val="center"/>
              <w:rPr>
                <w:rFonts w:ascii="宋体" w:hAnsi="宋体" w:cs="LinTimes"/>
                <w:color w:val="000000" w:themeColor="text1"/>
                <w:szCs w:val="21"/>
                <w14:textFill>
                  <w14:solidFill>
                    <w14:schemeClr w14:val="tx1"/>
                  </w14:solidFill>
                </w14:textFill>
              </w:rPr>
            </w:pPr>
          </w:p>
        </w:tc>
      </w:tr>
      <w:tr w14:paraId="4B1E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80" w:hRule="atLeast"/>
          <w:jc w:val="center"/>
        </w:trPr>
        <w:tc>
          <w:tcPr>
            <w:tcW w:w="566" w:type="dxa"/>
            <w:vAlign w:val="center"/>
          </w:tcPr>
          <w:p w14:paraId="720E2B0C">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公卫</w:t>
            </w:r>
          </w:p>
        </w:tc>
        <w:tc>
          <w:tcPr>
            <w:tcW w:w="710" w:type="dxa"/>
            <w:vAlign w:val="center"/>
          </w:tcPr>
          <w:p w14:paraId="3A1146A8">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w:t>
            </w:r>
          </w:p>
        </w:tc>
        <w:tc>
          <w:tcPr>
            <w:tcW w:w="2405" w:type="dxa"/>
            <w:vAlign w:val="center"/>
          </w:tcPr>
          <w:p w14:paraId="0F4D38F3">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w:t>
            </w:r>
          </w:p>
        </w:tc>
        <w:tc>
          <w:tcPr>
            <w:tcW w:w="794" w:type="dxa"/>
            <w:vAlign w:val="center"/>
          </w:tcPr>
          <w:p w14:paraId="4410A788">
            <w:pPr>
              <w:spacing w:line="260" w:lineRule="exact"/>
              <w:jc w:val="center"/>
              <w:rPr>
                <w:rFonts w:ascii="宋体" w:hAnsi="宋体" w:cs="LinTimes"/>
                <w:color w:val="000000" w:themeColor="text1"/>
                <w:szCs w:val="21"/>
                <w14:textFill>
                  <w14:solidFill>
                    <w14:schemeClr w14:val="tx1"/>
                  </w14:solidFill>
                </w14:textFill>
              </w:rPr>
            </w:pPr>
          </w:p>
        </w:tc>
        <w:tc>
          <w:tcPr>
            <w:tcW w:w="1609" w:type="dxa"/>
            <w:vAlign w:val="center"/>
          </w:tcPr>
          <w:p w14:paraId="7BCA153D">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平均每年参加本专业工作时间不少于40周，其中现场工作或在基层工作天数不少于60天/年</w:t>
            </w:r>
          </w:p>
        </w:tc>
        <w:tc>
          <w:tcPr>
            <w:tcW w:w="1559" w:type="dxa"/>
            <w:vAlign w:val="center"/>
          </w:tcPr>
          <w:p w14:paraId="1641B2A8">
            <w:pPr>
              <w:widowControl/>
              <w:spacing w:line="260" w:lineRule="exact"/>
              <w:jc w:val="center"/>
              <w:textAlignment w:val="center"/>
              <w:rPr>
                <w:rFonts w:ascii="宋体" w:hAnsi="宋体" w:cs="LinTimes"/>
                <w:color w:val="000000" w:themeColor="text1"/>
                <w:szCs w:val="21"/>
                <w14:textFill>
                  <w14:solidFill>
                    <w14:schemeClr w14:val="tx1"/>
                  </w14:solidFill>
                </w14:textFill>
              </w:rPr>
            </w:pPr>
            <w:r>
              <w:rPr>
                <w:rFonts w:hint="eastAsia" w:ascii="宋体" w:hAnsi="宋体" w:cs="LinTimes"/>
                <w:color w:val="000000" w:themeColor="text1"/>
                <w:kern w:val="0"/>
                <w:szCs w:val="21"/>
                <w14:textFill>
                  <w14:solidFill>
                    <w14:schemeClr w14:val="tx1"/>
                  </w14:solidFill>
                </w14:textFill>
              </w:rPr>
              <w:t>平均每年参加本专业工作时间不少于35周，其中现场工作或在基层工作天数不少于60天/年</w:t>
            </w:r>
          </w:p>
        </w:tc>
        <w:tc>
          <w:tcPr>
            <w:tcW w:w="7230" w:type="dxa"/>
            <w:vAlign w:val="center"/>
          </w:tcPr>
          <w:p w14:paraId="44BD4BB5">
            <w:pPr>
              <w:spacing w:line="260" w:lineRule="exact"/>
              <w:jc w:val="center"/>
              <w:rPr>
                <w:rFonts w:ascii="宋体" w:hAnsi="宋体" w:cs="LinTimes"/>
                <w:color w:val="000000" w:themeColor="text1"/>
                <w:szCs w:val="21"/>
                <w14:textFill>
                  <w14:solidFill>
                    <w14:schemeClr w14:val="tx1"/>
                  </w14:solidFill>
                </w14:textFill>
              </w:rPr>
            </w:pPr>
          </w:p>
        </w:tc>
      </w:tr>
    </w:tbl>
    <w:p w14:paraId="4629761B">
      <w:pPr>
        <w:spacing w:line="300" w:lineRule="exact"/>
        <w:rPr>
          <w:rFonts w:ascii="宋体" w:hAnsi="宋体" w:eastAsia="楷体_GB2312" w:cs="仿宋_GB2312"/>
          <w:b/>
          <w:bCs/>
          <w:color w:val="000000" w:themeColor="text1"/>
          <w:kern w:val="0"/>
          <w:sz w:val="24"/>
          <w14:textFill>
            <w14:solidFill>
              <w14:schemeClr w14:val="tx1"/>
            </w14:solidFill>
          </w14:textFill>
        </w:rPr>
      </w:pPr>
      <w:r>
        <w:rPr>
          <w:rFonts w:ascii="宋体" w:hAnsi="宋体" w:eastAsia="楷体_GB2312" w:cs="仿宋_GB2312"/>
          <w:b/>
          <w:bCs/>
          <w:color w:val="000000" w:themeColor="text1"/>
          <w:kern w:val="0"/>
          <w:sz w:val="24"/>
          <w14:textFill>
            <w14:solidFill>
              <w14:schemeClr w14:val="tx1"/>
            </w14:solidFill>
          </w14:textFill>
        </w:rPr>
        <w:t>指标统计说明：</w:t>
      </w:r>
    </w:p>
    <w:p w14:paraId="7A6B379B">
      <w:pPr>
        <w:spacing w:line="300" w:lineRule="exact"/>
        <w:ind w:firstLine="480" w:firstLineChars="200"/>
        <w:rPr>
          <w:rFonts w:ascii="宋体" w:hAnsi="宋体" w:eastAsia="楷体" w:cs="楷体"/>
          <w:bCs/>
          <w:color w:val="000000" w:themeColor="text1"/>
          <w:kern w:val="0"/>
          <w:sz w:val="24"/>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1.工作量指标是中级晋升副高、副高晋升正高期间的完成工作量，均从聘任时间开始计算。</w:t>
      </w:r>
    </w:p>
    <w:p w14:paraId="6F16C953">
      <w:pPr>
        <w:spacing w:line="300" w:lineRule="exact"/>
        <w:ind w:firstLine="480" w:firstLineChars="200"/>
        <w:rPr>
          <w:rFonts w:ascii="宋体" w:hAnsi="宋体" w:eastAsia="楷体" w:cs="楷体"/>
          <w:bCs/>
          <w:color w:val="000000" w:themeColor="text1"/>
          <w:kern w:val="0"/>
          <w:sz w:val="24"/>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2.半天（4小时）接诊不少于15位为1个有效单元。</w:t>
      </w:r>
    </w:p>
    <w:p w14:paraId="6C9103A7">
      <w:pPr>
        <w:spacing w:line="300" w:lineRule="exact"/>
        <w:ind w:firstLine="480" w:firstLineChars="200"/>
        <w:rPr>
          <w:rFonts w:ascii="宋体" w:hAnsi="宋体" w:eastAsia="楷体" w:cs="楷体"/>
          <w:bCs/>
          <w:color w:val="000000" w:themeColor="text1"/>
          <w:kern w:val="0"/>
          <w:sz w:val="24"/>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3.因诊疗时间限制，每单元病人数量较少的专业，门诊工作量可按照接诊总人数计算，接诊总人数应不低于该专业晋升工作量要求的总人数（晋升工作量单元数乘以15）。</w:t>
      </w:r>
    </w:p>
    <w:p w14:paraId="0711D210">
      <w:pPr>
        <w:spacing w:line="300" w:lineRule="exact"/>
        <w:ind w:firstLine="480" w:firstLineChars="200"/>
        <w:rPr>
          <w:rFonts w:ascii="宋体" w:hAnsi="宋体" w:eastAsia="楷体" w:cs="楷体"/>
          <w:bCs/>
          <w:color w:val="000000" w:themeColor="text1"/>
          <w:kern w:val="0"/>
          <w:sz w:val="24"/>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4.非急诊科医生在5年期间如轮转急诊科，工作期间按照4小时为一个门诊单元数计算。口腔、精神卫生等临床专业和针灸、推拿（按摩）、刮痧、拔罐等中医治疗技术，因受手法操作时间限制，工作量按照4小时为一个门诊单元数计算，不考虑治疗病人数量。肾内科学专业透析工作按照4小时为一个门诊单元计算。</w:t>
      </w:r>
    </w:p>
    <w:p w14:paraId="2A951620">
      <w:pPr>
        <w:spacing w:line="300" w:lineRule="exact"/>
        <w:ind w:firstLine="480" w:firstLineChars="200"/>
        <w:rPr>
          <w:rFonts w:ascii="宋体" w:hAnsi="宋体" w:eastAsia="楷体" w:cs="楷体"/>
          <w:bCs/>
          <w:color w:val="000000" w:themeColor="text1"/>
          <w:kern w:val="0"/>
          <w:sz w:val="24"/>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5.参与会诊、多学科会诊5次，算作1个门诊单元。</w:t>
      </w:r>
    </w:p>
    <w:p w14:paraId="77A56A6E">
      <w:pPr>
        <w:spacing w:line="300" w:lineRule="exact"/>
        <w:ind w:firstLine="480" w:firstLineChars="200"/>
        <w:rPr>
          <w:rFonts w:ascii="宋体" w:hAnsi="宋体" w:eastAsia="楷体" w:cs="楷体"/>
          <w:bCs/>
          <w:color w:val="000000" w:themeColor="text1"/>
          <w:kern w:val="0"/>
          <w:sz w:val="24"/>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6.有病房的肿瘤、皮肤与性病学等专业，“门诊单元”和“出院人数”可以互相折算。1个“门诊单元”折算为2人次“出院人数”。</w:t>
      </w:r>
    </w:p>
    <w:p w14:paraId="57A2EF93">
      <w:pPr>
        <w:spacing w:line="300" w:lineRule="exact"/>
        <w:ind w:firstLine="480" w:firstLineChars="200"/>
        <w:rPr>
          <w:rFonts w:ascii="宋体" w:hAnsi="宋体" w:eastAsia="楷体" w:cs="楷体"/>
          <w:bCs/>
          <w:color w:val="000000" w:themeColor="text1"/>
          <w:kern w:val="0"/>
          <w:sz w:val="24"/>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7.传染病学专业医师门诊工作量包含发热门诊、肠道门诊工作时间和会诊时间，如无病房则放入无病房组。</w:t>
      </w:r>
    </w:p>
    <w:p w14:paraId="0D4BAA23">
      <w:pPr>
        <w:spacing w:line="300" w:lineRule="exact"/>
        <w:ind w:firstLine="480" w:firstLineChars="200"/>
        <w:rPr>
          <w:rFonts w:ascii="宋体" w:hAnsi="宋体" w:eastAsia="楷体" w:cs="楷体"/>
          <w:bCs/>
          <w:color w:val="000000" w:themeColor="text1"/>
          <w:kern w:val="0"/>
          <w:sz w:val="24"/>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8.全科医学专业医师门诊工作量包含下基层指导工作时间，如无病房则放入无病房组。</w:t>
      </w:r>
    </w:p>
    <w:p w14:paraId="550CA60E">
      <w:pPr>
        <w:spacing w:line="300" w:lineRule="exact"/>
        <w:ind w:firstLine="480" w:firstLineChars="200"/>
        <w:rPr>
          <w:rFonts w:ascii="宋体" w:hAnsi="宋体" w:eastAsia="楷体" w:cs="楷体"/>
          <w:bCs/>
          <w:color w:val="000000" w:themeColor="text1"/>
          <w:kern w:val="0"/>
          <w:sz w:val="24"/>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9.内镜诊疗5000人次（含内镜下治疗手术，晋升副主任医师至少500例，晋升主任医师至少800例，门诊患者和出院患者均包括）为消化内科学专业必备的申报条件之一。</w:t>
      </w:r>
    </w:p>
    <w:p w14:paraId="7B49BC85">
      <w:pPr>
        <w:spacing w:line="300" w:lineRule="exact"/>
        <w:ind w:firstLine="480" w:firstLineChars="200"/>
        <w:rPr>
          <w:rFonts w:ascii="宋体" w:hAnsi="宋体" w:eastAsia="楷体" w:cs="楷体"/>
          <w:bCs/>
          <w:color w:val="000000" w:themeColor="text1"/>
          <w:kern w:val="0"/>
          <w:sz w:val="24"/>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10.呼吸内镜诊疗200人次（含呼吸内镜下检查与治疗，门诊患者和出院患者均包括）为呼吸内科学专业必备的申报条件之一。</w:t>
      </w:r>
    </w:p>
    <w:p w14:paraId="745C67E3">
      <w:pPr>
        <w:spacing w:line="300" w:lineRule="exact"/>
        <w:ind w:firstLine="480" w:firstLineChars="200"/>
        <w:rPr>
          <w:rFonts w:ascii="宋体" w:hAnsi="宋体" w:eastAsia="楷体" w:cs="楷体"/>
          <w:bCs/>
          <w:color w:val="000000" w:themeColor="text1"/>
          <w:kern w:val="0"/>
          <w:sz w:val="24"/>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11.心血管内科学和神经内科学及其他有介入治疗的专业可参照手术为主临床专业执行。</w:t>
      </w:r>
    </w:p>
    <w:p w14:paraId="4F0D11CD">
      <w:pPr>
        <w:spacing w:line="300" w:lineRule="exact"/>
        <w:ind w:firstLine="480" w:firstLineChars="200"/>
        <w:rPr>
          <w:rFonts w:ascii="宋体" w:hAnsi="宋体" w:eastAsia="楷体" w:cs="楷体"/>
          <w:bCs/>
          <w:color w:val="000000" w:themeColor="text1"/>
          <w:kern w:val="0"/>
          <w:sz w:val="24"/>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12.整形外科学和计划生育学专业的工作量指标不含出院人数，其出院患者手术／操作人次数调整为手术／操作人次数（含门诊患者和出院患者手术／操作人次数）。</w:t>
      </w:r>
    </w:p>
    <w:p w14:paraId="1C33D0B5">
      <w:pPr>
        <w:spacing w:line="300" w:lineRule="exact"/>
        <w:ind w:firstLine="480" w:firstLineChars="200"/>
        <w:rPr>
          <w:rFonts w:ascii="宋体" w:hAnsi="宋体" w:eastAsia="楷体" w:cs="楷体"/>
          <w:bCs/>
          <w:color w:val="000000" w:themeColor="text1"/>
          <w:kern w:val="0"/>
          <w:sz w:val="24"/>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13.出院患者手术／操作人次晋升副主任医师以主刀或一助计算；晋升主任医师以主刀计算。</w:t>
      </w:r>
    </w:p>
    <w:p w14:paraId="1915D8B6">
      <w:pPr>
        <w:spacing w:line="300" w:lineRule="exact"/>
        <w:ind w:firstLine="480" w:firstLineChars="200"/>
        <w:rPr>
          <w:rFonts w:ascii="宋体" w:hAnsi="宋体" w:eastAsia="楷体" w:cs="楷体"/>
          <w:bCs/>
          <w:color w:val="000000" w:themeColor="text1"/>
          <w:kern w:val="0"/>
          <w:sz w:val="24"/>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14.临床医学检验学专业中，形态、血液、微生物等亚专业申报条件为参与诊疗患者人次数，临检、生化、免疫等亚专业的申报条件为签发检查报告份数。</w:t>
      </w:r>
    </w:p>
    <w:p w14:paraId="5599FF7D">
      <w:pPr>
        <w:spacing w:line="300" w:lineRule="exact"/>
        <w:ind w:firstLine="480" w:firstLineChars="200"/>
        <w:rPr>
          <w:rFonts w:ascii="宋体" w:hAnsi="宋体" w:eastAsia="楷体" w:cs="楷体"/>
          <w:bCs/>
          <w:color w:val="000000" w:themeColor="text1"/>
          <w:kern w:val="0"/>
          <w:sz w:val="24"/>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15.临床类手术为主专业、非手术为主专业和中医类专业从事临床类“其他临床专业”工作的，工作量可以按“其他临床专业”工作量统计。</w:t>
      </w:r>
    </w:p>
    <w:p w14:paraId="0D2765E0">
      <w:pPr>
        <w:spacing w:line="300" w:lineRule="exact"/>
        <w:ind w:firstLine="480" w:firstLineChars="200"/>
        <w:rPr>
          <w:rFonts w:ascii="宋体" w:hAnsi="宋体" w:eastAsia="楷体" w:cs="楷体"/>
          <w:bCs/>
          <w:color w:val="000000" w:themeColor="text1"/>
          <w:kern w:val="0"/>
          <w:sz w:val="24"/>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16.援外、援疆、援青、援藏、扶贫协作重庆、甘肃的，受组织委派执行抗疫、保健、担任业务院长等救援、医疗、工作任务的，执业医师晋升副高级职称前在县级以下（不包括县级）或对口支援的医疗卫生机构提供一年以上服务的，以及在医院感染预防与控制岗位工作的，其工作量按照本专业晋升副高级、正高级职称年平均工作量要求，根据实际工作年数减免相应工作量。</w:t>
      </w:r>
    </w:p>
    <w:p w14:paraId="4D176276">
      <w:pPr>
        <w:spacing w:line="300" w:lineRule="exact"/>
        <w:ind w:firstLine="480" w:firstLineChars="200"/>
        <w:rPr>
          <w:rFonts w:ascii="宋体" w:hAnsi="宋体" w:eastAsia="楷体" w:cs="楷体"/>
          <w:color w:val="000000" w:themeColor="text1"/>
          <w:sz w:val="32"/>
          <w:szCs w:val="20"/>
          <w14:textFill>
            <w14:solidFill>
              <w14:schemeClr w14:val="tx1"/>
            </w14:solidFill>
          </w14:textFill>
        </w:rPr>
      </w:pPr>
      <w:r>
        <w:rPr>
          <w:rFonts w:hint="eastAsia" w:ascii="宋体" w:hAnsi="宋体" w:eastAsia="楷体" w:cs="楷体"/>
          <w:bCs/>
          <w:color w:val="000000" w:themeColor="text1"/>
          <w:kern w:val="0"/>
          <w:sz w:val="24"/>
          <w14:textFill>
            <w14:solidFill>
              <w14:schemeClr w14:val="tx1"/>
            </w14:solidFill>
          </w14:textFill>
        </w:rPr>
        <w:t>17.疾控中心、急救中心、血液中心（血站）等卫生事业单位，中小学、托幼机构等单位，以及医疗机构中从事公共卫生工作的临床、口腔、中医专业技术人员，也可以自主选择申报相应类别公共卫生专业。选择申报公共卫生专业的，按照公共卫生专业要求申报评审，其职称资格仅适用于相应类别单位使用。</w:t>
      </w:r>
    </w:p>
    <w:p w14:paraId="57828EE7"/>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script"/>
    <w:pitch w:val="default"/>
    <w:sig w:usb0="00000000" w:usb1="00000000" w:usb2="00000000" w:usb3="00000000" w:csb0="00040000" w:csb1="00000000"/>
  </w:font>
  <w:font w:name="LinTimes">
    <w:altName w:val="Segoe Print"/>
    <w:panose1 w:val="00000000000000000000"/>
    <w:charset w:val="00"/>
    <w:family w:val="auto"/>
    <w:pitch w:val="default"/>
    <w:sig w:usb0="00000000" w:usb1="00000000" w:usb2="00000008"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D0B62">
    <w:pPr>
      <w:pStyle w:val="2"/>
      <w:ind w:right="280"/>
      <w:jc w:val="center"/>
      <w:rPr>
        <w:rFonts w:ascii="宋体" w:hAnsi="宋体"/>
      </w:rPr>
    </w:pPr>
    <w:r>
      <w:rPr>
        <w:rFonts w:ascii="宋体" w:hAnsi="宋体" w:cstheme="majorBidi"/>
        <w:sz w:val="28"/>
        <w:szCs w:val="28"/>
        <w:lang w:val="zh-CN"/>
      </w:rPr>
      <w:t xml:space="preserve">— </w:t>
    </w:r>
    <w:r>
      <w:rPr>
        <w:rFonts w:ascii="宋体" w:hAnsi="宋体" w:cstheme="minorBidi"/>
        <w:sz w:val="22"/>
        <w:szCs w:val="22"/>
      </w:rPr>
      <w:fldChar w:fldCharType="begin"/>
    </w:r>
    <w:r>
      <w:rPr>
        <w:rFonts w:ascii="宋体" w:hAnsi="宋体"/>
      </w:rPr>
      <w:instrText xml:space="preserve">PAGE    \* MERGEFORMAT</w:instrText>
    </w:r>
    <w:r>
      <w:rPr>
        <w:rFonts w:ascii="宋体" w:hAnsi="宋体" w:cstheme="minorBidi"/>
        <w:sz w:val="22"/>
        <w:szCs w:val="22"/>
      </w:rPr>
      <w:fldChar w:fldCharType="separate"/>
    </w:r>
    <w:r>
      <w:rPr>
        <w:rFonts w:ascii="宋体" w:hAnsi="宋体" w:cstheme="majorBidi"/>
        <w:sz w:val="28"/>
        <w:szCs w:val="28"/>
        <w:lang w:val="zh-CN"/>
      </w:rPr>
      <w:t>13</w:t>
    </w:r>
    <w:r>
      <w:rPr>
        <w:rFonts w:ascii="宋体" w:hAnsi="宋体" w:cstheme="majorBidi"/>
        <w:sz w:val="28"/>
        <w:szCs w:val="28"/>
      </w:rPr>
      <w:fldChar w:fldCharType="end"/>
    </w:r>
    <w:r>
      <w:rPr>
        <w:rFonts w:ascii="宋体" w:hAnsi="宋体" w:cstheme="majorBidi"/>
        <w:sz w:val="28"/>
        <w:szCs w:val="28"/>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OTNkOTQ4Zjg4ZjUzOWNkYTk4N2U3OWRjNDhiNWIifQ=="/>
  </w:docVars>
  <w:rsids>
    <w:rsidRoot w:val="4DDD0421"/>
    <w:rsid w:val="4DDD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2024-09-05T10:00:00Z</dcterms:created>
  <dc:creator>刘建杰³ 18653197702</dc:creator>
  <cp:lastModifiedBy>刘建杰³ 18653197702</cp:lastModifiedBy>
  <dcterms:modified xsi:type="dcterms:W3CDTF">2024-09-05T10:01:41Z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BC2B9D4C0FFE417DBC991572491039B4_11</vt:lpwstr>
  </property>
</Properties>
</file>